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Voces:</w:t>
      </w:r>
      <w:r>
        <w:rPr>
          <w:rFonts w:ascii="Times New Roman" w:hAnsi="Times New Roman"/>
          <w:sz w:val="20"/>
          <w:szCs w:val="20"/>
        </w:rPr>
        <w:t xml:space="preserve"> </w:t>
      </w:r>
      <w:r>
        <w:rPr>
          <w:rFonts w:ascii="Times New Roman" w:hAnsi="Times New Roman"/>
          <w:color w:val="000080"/>
          <w:sz w:val="20"/>
          <w:szCs w:val="20"/>
        </w:rPr>
        <w:t>BIEN</w:t>
      </w:r>
      <w:r>
        <w:rPr>
          <w:rFonts w:ascii="Times New Roman" w:hAnsi="Times New Roman"/>
          <w:sz w:val="20"/>
          <w:szCs w:val="20"/>
        </w:rPr>
        <w:t xml:space="preserve"> </w:t>
      </w:r>
      <w:r>
        <w:rPr>
          <w:rFonts w:ascii="Times New Roman" w:hAnsi="Times New Roman"/>
          <w:color w:val="000080"/>
          <w:sz w:val="20"/>
          <w:szCs w:val="20"/>
        </w:rPr>
        <w:t>COMUN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CONSTITUCION</w:t>
      </w:r>
      <w:r>
        <w:rPr>
          <w:rFonts w:ascii="Times New Roman" w:hAnsi="Times New Roman"/>
          <w:sz w:val="20"/>
          <w:szCs w:val="20"/>
        </w:rPr>
        <w:t xml:space="preserve"> </w:t>
      </w:r>
      <w:r>
        <w:rPr>
          <w:rFonts w:ascii="Times New Roman" w:hAnsi="Times New Roman"/>
          <w:color w:val="000080"/>
          <w:sz w:val="20"/>
          <w:szCs w:val="20"/>
        </w:rPr>
        <w:t>NACIONAL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CUESTION</w:t>
      </w:r>
      <w:r>
        <w:rPr>
          <w:rFonts w:ascii="Times New Roman" w:hAnsi="Times New Roman"/>
          <w:sz w:val="20"/>
          <w:szCs w:val="20"/>
        </w:rPr>
        <w:t xml:space="preserve"> </w:t>
      </w:r>
      <w:r>
        <w:rPr>
          <w:rFonts w:ascii="Times New Roman" w:hAnsi="Times New Roman"/>
          <w:color w:val="000080"/>
          <w:sz w:val="20"/>
          <w:szCs w:val="20"/>
        </w:rPr>
        <w:t>FEDERAL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IDENTIDAD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INTIMIDAD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ASOCIACION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SUBJETIVO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DERECHOS</w:t>
      </w:r>
      <w:r>
        <w:rPr>
          <w:rFonts w:ascii="Times New Roman" w:hAnsi="Times New Roman"/>
          <w:sz w:val="20"/>
          <w:szCs w:val="20"/>
        </w:rPr>
        <w:t xml:space="preserve"> </w:t>
      </w:r>
      <w:r>
        <w:rPr>
          <w:rFonts w:ascii="Times New Roman" w:hAnsi="Times New Roman"/>
          <w:color w:val="000080"/>
          <w:sz w:val="20"/>
          <w:szCs w:val="20"/>
        </w:rPr>
        <w:t>HUMANOS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DISCRIMINACION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FACULTADES</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ORGANISMO</w:t>
      </w:r>
      <w:r>
        <w:rPr>
          <w:rFonts w:ascii="Times New Roman" w:hAnsi="Times New Roman"/>
          <w:sz w:val="20"/>
          <w:szCs w:val="20"/>
        </w:rPr>
        <w:t xml:space="preserve"> </w:t>
      </w:r>
      <w:r>
        <w:rPr>
          <w:rFonts w:ascii="Times New Roman" w:hAnsi="Times New Roman"/>
          <w:color w:val="000080"/>
          <w:sz w:val="20"/>
          <w:szCs w:val="20"/>
        </w:rPr>
        <w:t>PUBLICO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GARANTIAS</w:t>
      </w:r>
      <w:r>
        <w:rPr>
          <w:rFonts w:ascii="Times New Roman" w:hAnsi="Times New Roman"/>
          <w:sz w:val="20"/>
          <w:szCs w:val="20"/>
        </w:rPr>
        <w:t xml:space="preserve"> </w:t>
      </w:r>
      <w:r>
        <w:rPr>
          <w:rFonts w:ascii="Times New Roman" w:hAnsi="Times New Roman"/>
          <w:color w:val="000080"/>
          <w:sz w:val="20"/>
          <w:szCs w:val="20"/>
        </w:rPr>
        <w:t>CONSTITUCIONALES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IDENTIDAD</w:t>
      </w:r>
      <w:r>
        <w:rPr>
          <w:rFonts w:ascii="Times New Roman" w:hAnsi="Times New Roman"/>
          <w:sz w:val="20"/>
          <w:szCs w:val="20"/>
        </w:rPr>
        <w:t xml:space="preserve"> </w:t>
      </w:r>
      <w:r>
        <w:rPr>
          <w:rFonts w:ascii="Times New Roman" w:hAnsi="Times New Roman"/>
          <w:color w:val="000080"/>
          <w:sz w:val="20"/>
          <w:szCs w:val="20"/>
        </w:rPr>
        <w:t>SEXUAL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IGUALDAD</w:t>
      </w:r>
      <w:r>
        <w:rPr>
          <w:rFonts w:ascii="Times New Roman" w:hAnsi="Times New Roman"/>
          <w:sz w:val="20"/>
          <w:szCs w:val="20"/>
        </w:rPr>
        <w:t xml:space="preserve"> </w:t>
      </w:r>
      <w:r>
        <w:rPr>
          <w:rFonts w:ascii="Times New Roman" w:hAnsi="Times New Roman"/>
          <w:color w:val="000080"/>
          <w:sz w:val="20"/>
          <w:szCs w:val="20"/>
        </w:rPr>
        <w:t>ANTE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LEY</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INSPECCION</w:t>
      </w:r>
      <w:r>
        <w:rPr>
          <w:rFonts w:ascii="Times New Roman" w:hAnsi="Times New Roman"/>
          <w:sz w:val="20"/>
          <w:szCs w:val="20"/>
        </w:rPr>
        <w:t xml:space="preserve"> </w:t>
      </w:r>
      <w:r>
        <w:rPr>
          <w:rFonts w:ascii="Times New Roman" w:hAnsi="Times New Roman"/>
          <w:color w:val="000080"/>
          <w:sz w:val="20"/>
          <w:szCs w:val="20"/>
        </w:rPr>
        <w:t>GENERAL</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JUSTICIA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CONSTITUCIONAL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LEY</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LEGITIMACION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MORAL</w:t>
      </w:r>
      <w:r>
        <w:rPr>
          <w:rFonts w:ascii="Times New Roman" w:hAnsi="Times New Roman"/>
          <w:sz w:val="20"/>
          <w:szCs w:val="20"/>
        </w:rPr>
        <w:t xml:space="preserve"> </w:t>
      </w:r>
      <w:r>
        <w:rPr>
          <w:rFonts w:ascii="Times New Roman" w:hAnsi="Times New Roman"/>
          <w:color w:val="000080"/>
          <w:sz w:val="20"/>
          <w:szCs w:val="20"/>
        </w:rPr>
        <w:t>Y</w:t>
      </w:r>
      <w:r>
        <w:rPr>
          <w:rFonts w:ascii="Times New Roman" w:hAnsi="Times New Roman"/>
          <w:sz w:val="20"/>
          <w:szCs w:val="20"/>
        </w:rPr>
        <w:t xml:space="preserve"> </w:t>
      </w:r>
      <w:r>
        <w:rPr>
          <w:rFonts w:ascii="Times New Roman" w:hAnsi="Times New Roman"/>
          <w:color w:val="000080"/>
          <w:sz w:val="20"/>
          <w:szCs w:val="20"/>
        </w:rPr>
        <w:t>BUENAS</w:t>
      </w:r>
      <w:r>
        <w:rPr>
          <w:rFonts w:ascii="Times New Roman" w:hAnsi="Times New Roman"/>
          <w:sz w:val="20"/>
          <w:szCs w:val="20"/>
        </w:rPr>
        <w:t xml:space="preserve"> </w:t>
      </w:r>
      <w:r>
        <w:rPr>
          <w:rFonts w:ascii="Times New Roman" w:hAnsi="Times New Roman"/>
          <w:color w:val="000080"/>
          <w:sz w:val="20"/>
          <w:szCs w:val="20"/>
        </w:rPr>
        <w:t>COSTUMBRES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OBJETO</w:t>
      </w:r>
      <w:r>
        <w:rPr>
          <w:rFonts w:ascii="Times New Roman" w:hAnsi="Times New Roman"/>
          <w:sz w:val="20"/>
          <w:szCs w:val="20"/>
        </w:rPr>
        <w:t xml:space="preserve"> </w:t>
      </w:r>
      <w:r>
        <w:rPr>
          <w:rFonts w:ascii="Times New Roman" w:hAnsi="Times New Roman"/>
          <w:color w:val="000080"/>
          <w:sz w:val="20"/>
          <w:szCs w:val="20"/>
        </w:rPr>
        <w:t>ILICITO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PERSONERIA</w:t>
      </w:r>
      <w:r>
        <w:rPr>
          <w:rFonts w:ascii="Times New Roman" w:hAnsi="Times New Roman"/>
          <w:sz w:val="20"/>
          <w:szCs w:val="20"/>
        </w:rPr>
        <w:t xml:space="preserve"> </w:t>
      </w:r>
      <w:r>
        <w:rPr>
          <w:rFonts w:ascii="Times New Roman" w:hAnsi="Times New Roman"/>
          <w:color w:val="000080"/>
          <w:sz w:val="20"/>
          <w:szCs w:val="20"/>
        </w:rPr>
        <w:t>JURIDICA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PRINCIPIO</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RAZONABILIDAD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PRINCIPIOS</w:t>
      </w:r>
      <w:r>
        <w:rPr>
          <w:rFonts w:ascii="Times New Roman" w:hAnsi="Times New Roman"/>
          <w:sz w:val="20"/>
          <w:szCs w:val="20"/>
        </w:rPr>
        <w:t xml:space="preserve"> </w:t>
      </w:r>
      <w:r>
        <w:rPr>
          <w:rFonts w:ascii="Times New Roman" w:hAnsi="Times New Roman"/>
          <w:color w:val="000080"/>
          <w:sz w:val="20"/>
          <w:szCs w:val="20"/>
        </w:rPr>
        <w:t>CONSTITUCIONALES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RECURSO</w:t>
      </w:r>
      <w:r>
        <w:rPr>
          <w:rFonts w:ascii="Times New Roman" w:hAnsi="Times New Roman"/>
          <w:sz w:val="20"/>
          <w:szCs w:val="20"/>
        </w:rPr>
        <w:t xml:space="preserve"> </w:t>
      </w:r>
      <w:r>
        <w:rPr>
          <w:rFonts w:ascii="Times New Roman" w:hAnsi="Times New Roman"/>
          <w:color w:val="000080"/>
          <w:sz w:val="20"/>
          <w:szCs w:val="20"/>
        </w:rPr>
        <w:t>EXTRAORDINARIO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SUPREMACIA</w:t>
      </w:r>
      <w:r>
        <w:rPr>
          <w:rFonts w:ascii="Times New Roman" w:hAnsi="Times New Roman"/>
          <w:sz w:val="20"/>
          <w:szCs w:val="20"/>
        </w:rPr>
        <w:t xml:space="preserve"> </w:t>
      </w:r>
      <w:r>
        <w:rPr>
          <w:rFonts w:ascii="Times New Roman" w:hAnsi="Times New Roman"/>
          <w:color w:val="000080"/>
          <w:sz w:val="20"/>
          <w:szCs w:val="20"/>
        </w:rPr>
        <w:t>CONSTITUCIONAL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TRATADO</w:t>
      </w:r>
      <w:r>
        <w:rPr>
          <w:rFonts w:ascii="Times New Roman" w:hAnsi="Times New Roman"/>
          <w:sz w:val="20"/>
          <w:szCs w:val="20"/>
        </w:rPr>
        <w:t xml:space="preserve"> </w:t>
      </w:r>
      <w:r>
        <w:rPr>
          <w:rFonts w:ascii="Times New Roman" w:hAnsi="Times New Roman"/>
          <w:color w:val="000080"/>
          <w:sz w:val="20"/>
          <w:szCs w:val="20"/>
        </w:rPr>
        <w:t>INTERNACIONAL</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Tribunal:</w:t>
      </w:r>
      <w:r>
        <w:rPr>
          <w:rFonts w:ascii="Times New Roman" w:hAnsi="Times New Roman"/>
          <w:sz w:val="20"/>
          <w:szCs w:val="20"/>
        </w:rPr>
        <w:t xml:space="preserve"> </w:t>
      </w:r>
      <w:r>
        <w:rPr>
          <w:rFonts w:ascii="Times New Roman" w:hAnsi="Times New Roman"/>
          <w:color w:val="535396"/>
          <w:sz w:val="20"/>
          <w:szCs w:val="20"/>
        </w:rPr>
        <w:t>Corte</w:t>
      </w:r>
      <w:r>
        <w:rPr>
          <w:rFonts w:ascii="Times New Roman" w:hAnsi="Times New Roman"/>
          <w:sz w:val="20"/>
          <w:szCs w:val="20"/>
        </w:rPr>
        <w:t xml:space="preserve"> </w:t>
      </w:r>
      <w:r>
        <w:rPr>
          <w:rFonts w:ascii="Times New Roman" w:hAnsi="Times New Roman"/>
          <w:color w:val="535396"/>
          <w:sz w:val="20"/>
          <w:szCs w:val="20"/>
        </w:rPr>
        <w:t>Suprema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Justicia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proofErr w:type="gramStart"/>
      <w:r>
        <w:rPr>
          <w:rFonts w:ascii="Times New Roman" w:hAnsi="Times New Roman"/>
          <w:color w:val="535396"/>
          <w:sz w:val="20"/>
          <w:szCs w:val="20"/>
        </w:rPr>
        <w:t>Nación(</w:t>
      </w:r>
      <w:proofErr w:type="gramEnd"/>
      <w:r>
        <w:rPr>
          <w:rFonts w:ascii="Times New Roman" w:hAnsi="Times New Roman"/>
          <w:color w:val="535396"/>
          <w:sz w:val="20"/>
          <w:szCs w:val="20"/>
        </w:rPr>
        <w:t>CS)</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Fecha:</w:t>
      </w:r>
      <w:r>
        <w:rPr>
          <w:rFonts w:ascii="Times New Roman" w:hAnsi="Times New Roman"/>
          <w:sz w:val="20"/>
          <w:szCs w:val="20"/>
        </w:rPr>
        <w:t xml:space="preserve"> </w:t>
      </w:r>
      <w:r>
        <w:rPr>
          <w:rFonts w:ascii="Times New Roman" w:hAnsi="Times New Roman"/>
          <w:color w:val="535396"/>
          <w:sz w:val="20"/>
          <w:szCs w:val="20"/>
        </w:rPr>
        <w:t>21/11/2006</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Partes:</w:t>
      </w:r>
      <w:r>
        <w:rPr>
          <w:rFonts w:ascii="Times New Roman" w:hAnsi="Times New Roman"/>
          <w:sz w:val="20"/>
          <w:szCs w:val="20"/>
        </w:rPr>
        <w:t xml:space="preserve"> </w:t>
      </w:r>
      <w:r>
        <w:rPr>
          <w:rFonts w:ascii="Times New Roman" w:hAnsi="Times New Roman"/>
          <w:color w:val="535396"/>
          <w:sz w:val="20"/>
          <w:szCs w:val="20"/>
        </w:rPr>
        <w:t>Asociación</w:t>
      </w:r>
      <w:r>
        <w:rPr>
          <w:rFonts w:ascii="Times New Roman" w:hAnsi="Times New Roman"/>
          <w:sz w:val="20"/>
          <w:szCs w:val="20"/>
        </w:rPr>
        <w:t xml:space="preserve"> </w:t>
      </w:r>
      <w:r>
        <w:rPr>
          <w:rFonts w:ascii="Times New Roman" w:hAnsi="Times New Roman"/>
          <w:color w:val="535396"/>
          <w:sz w:val="20"/>
          <w:szCs w:val="20"/>
        </w:rPr>
        <w:t>Lucha</w:t>
      </w:r>
      <w:r>
        <w:rPr>
          <w:rFonts w:ascii="Times New Roman" w:hAnsi="Times New Roman"/>
          <w:sz w:val="20"/>
          <w:szCs w:val="20"/>
        </w:rPr>
        <w:t xml:space="preserve"> </w:t>
      </w:r>
      <w:r>
        <w:rPr>
          <w:rFonts w:ascii="Times New Roman" w:hAnsi="Times New Roman"/>
          <w:color w:val="535396"/>
          <w:sz w:val="20"/>
          <w:szCs w:val="20"/>
        </w:rPr>
        <w:t>por</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Identidad</w:t>
      </w:r>
      <w:r>
        <w:rPr>
          <w:rFonts w:ascii="Times New Roman" w:hAnsi="Times New Roman"/>
          <w:sz w:val="20"/>
          <w:szCs w:val="20"/>
        </w:rPr>
        <w:t xml:space="preserve"> </w:t>
      </w:r>
      <w:r>
        <w:rPr>
          <w:rFonts w:ascii="Times New Roman" w:hAnsi="Times New Roman"/>
          <w:color w:val="535396"/>
          <w:sz w:val="20"/>
          <w:szCs w:val="20"/>
        </w:rPr>
        <w:t>Travesti</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Transexual</w:t>
      </w:r>
      <w:r>
        <w:rPr>
          <w:rFonts w:ascii="Times New Roman" w:hAnsi="Times New Roman"/>
          <w:sz w:val="20"/>
          <w:szCs w:val="20"/>
        </w:rPr>
        <w:t xml:space="preserve"> </w:t>
      </w:r>
      <w:r>
        <w:rPr>
          <w:rFonts w:ascii="Times New Roman" w:hAnsi="Times New Roman"/>
          <w:color w:val="535396"/>
          <w:sz w:val="20"/>
          <w:szCs w:val="20"/>
        </w:rPr>
        <w:t>c.</w:t>
      </w:r>
      <w:r>
        <w:rPr>
          <w:rFonts w:ascii="Times New Roman" w:hAnsi="Times New Roman"/>
          <w:sz w:val="20"/>
          <w:szCs w:val="20"/>
        </w:rPr>
        <w:t xml:space="preserve"> </w:t>
      </w:r>
      <w:r>
        <w:rPr>
          <w:rFonts w:ascii="Times New Roman" w:hAnsi="Times New Roman"/>
          <w:color w:val="535396"/>
          <w:sz w:val="20"/>
          <w:szCs w:val="20"/>
        </w:rPr>
        <w:t>Inspección</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Justicia</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b/>
          <w:bCs/>
          <w:sz w:val="20"/>
          <w:szCs w:val="20"/>
        </w:rPr>
        <w:t>Publicado</w:t>
      </w:r>
      <w:r>
        <w:rPr>
          <w:rFonts w:ascii="Times New Roman" w:hAnsi="Times New Roman"/>
          <w:sz w:val="20"/>
          <w:szCs w:val="20"/>
        </w:rPr>
        <w:t xml:space="preserve"> </w:t>
      </w:r>
      <w:r>
        <w:rPr>
          <w:rFonts w:ascii="Times New Roman" w:hAnsi="Times New Roman"/>
          <w:b/>
          <w:bCs/>
          <w:sz w:val="20"/>
          <w:szCs w:val="20"/>
        </w:rPr>
        <w:t>en:</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Javier</w:t>
      </w:r>
      <w:r>
        <w:rPr>
          <w:rFonts w:ascii="Times New Roman" w:hAnsi="Times New Roman"/>
          <w:sz w:val="20"/>
          <w:szCs w:val="20"/>
        </w:rPr>
        <w:t xml:space="preserve"> </w:t>
      </w:r>
      <w:r>
        <w:rPr>
          <w:rFonts w:ascii="Times New Roman" w:hAnsi="Times New Roman"/>
          <w:color w:val="535396"/>
          <w:sz w:val="20"/>
          <w:szCs w:val="20"/>
        </w:rPr>
        <w:t>Enrique</w:t>
      </w:r>
      <w:r>
        <w:rPr>
          <w:rFonts w:ascii="Times New Roman" w:hAnsi="Times New Roman"/>
          <w:sz w:val="20"/>
          <w:szCs w:val="20"/>
        </w:rPr>
        <w:t xml:space="preserve"> </w:t>
      </w:r>
      <w:r>
        <w:rPr>
          <w:rFonts w:ascii="Times New Roman" w:hAnsi="Times New Roman"/>
          <w:color w:val="535396"/>
          <w:sz w:val="20"/>
          <w:szCs w:val="20"/>
        </w:rPr>
        <w:t>Ayuso;</w:t>
      </w:r>
      <w:r>
        <w:rPr>
          <w:rFonts w:ascii="Times New Roman" w:hAnsi="Times New Roman"/>
          <w:sz w:val="20"/>
          <w:szCs w:val="20"/>
        </w:rPr>
        <w:t xml:space="preserve"> </w:t>
      </w:r>
      <w:r>
        <w:rPr>
          <w:rFonts w:ascii="Times New Roman" w:hAnsi="Times New Roman"/>
          <w:color w:val="535396"/>
          <w:sz w:val="20"/>
          <w:szCs w:val="20"/>
        </w:rPr>
        <w:t>Agustín</w:t>
      </w:r>
      <w:r>
        <w:rPr>
          <w:rFonts w:ascii="Times New Roman" w:hAnsi="Times New Roman"/>
          <w:sz w:val="20"/>
          <w:szCs w:val="20"/>
        </w:rPr>
        <w:t xml:space="preserve"> </w:t>
      </w:r>
      <w:r>
        <w:rPr>
          <w:rFonts w:ascii="Times New Roman" w:hAnsi="Times New Roman"/>
          <w:color w:val="535396"/>
          <w:sz w:val="20"/>
          <w:szCs w:val="20"/>
        </w:rPr>
        <w:t>Griffi</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5</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Javier</w:t>
      </w:r>
      <w:r>
        <w:rPr>
          <w:rFonts w:ascii="Times New Roman" w:hAnsi="Times New Roman"/>
          <w:sz w:val="20"/>
          <w:szCs w:val="20"/>
        </w:rPr>
        <w:t xml:space="preserve"> </w:t>
      </w:r>
      <w:r>
        <w:rPr>
          <w:rFonts w:ascii="Times New Roman" w:hAnsi="Times New Roman"/>
          <w:color w:val="535396"/>
          <w:sz w:val="20"/>
          <w:szCs w:val="20"/>
        </w:rPr>
        <w:t>Enrique</w:t>
      </w:r>
      <w:r>
        <w:rPr>
          <w:rFonts w:ascii="Times New Roman" w:hAnsi="Times New Roman"/>
          <w:sz w:val="20"/>
          <w:szCs w:val="20"/>
        </w:rPr>
        <w:t xml:space="preserve"> </w:t>
      </w:r>
      <w:r>
        <w:rPr>
          <w:rFonts w:ascii="Times New Roman" w:hAnsi="Times New Roman"/>
          <w:color w:val="535396"/>
          <w:sz w:val="20"/>
          <w:szCs w:val="20"/>
        </w:rPr>
        <w:t>Ayuso;</w:t>
      </w:r>
      <w:r>
        <w:rPr>
          <w:rFonts w:ascii="Times New Roman" w:hAnsi="Times New Roman"/>
          <w:sz w:val="20"/>
          <w:szCs w:val="20"/>
        </w:rPr>
        <w:t xml:space="preserve"> </w:t>
      </w:r>
      <w:r>
        <w:rPr>
          <w:rFonts w:ascii="Times New Roman" w:hAnsi="Times New Roman"/>
          <w:color w:val="535396"/>
          <w:sz w:val="20"/>
          <w:szCs w:val="20"/>
        </w:rPr>
        <w:t>Agustín</w:t>
      </w:r>
      <w:r>
        <w:rPr>
          <w:rFonts w:ascii="Times New Roman" w:hAnsi="Times New Roman"/>
          <w:sz w:val="20"/>
          <w:szCs w:val="20"/>
        </w:rPr>
        <w:t xml:space="preserve"> </w:t>
      </w:r>
      <w:r>
        <w:rPr>
          <w:rFonts w:ascii="Times New Roman" w:hAnsi="Times New Roman"/>
          <w:color w:val="535396"/>
          <w:sz w:val="20"/>
          <w:szCs w:val="20"/>
        </w:rPr>
        <w:t>Griffi</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730</w:t>
      </w:r>
      <w:r>
        <w:rPr>
          <w:rFonts w:ascii="Times New Roman" w:hAnsi="Times New Roman"/>
          <w:sz w:val="20"/>
          <w:szCs w:val="20"/>
        </w:rPr>
        <w:t xml:space="preserve"> </w:t>
      </w:r>
      <w:r>
        <w:rPr>
          <w:rFonts w:ascii="Times New Roman" w:hAnsi="Times New Roman"/>
          <w:color w:val="535396"/>
          <w:sz w:val="20"/>
          <w:szCs w:val="20"/>
        </w:rPr>
        <w:t>DJ06/12/2006,</w:t>
      </w:r>
      <w:r>
        <w:rPr>
          <w:rFonts w:ascii="Times New Roman" w:hAnsi="Times New Roman"/>
          <w:sz w:val="20"/>
          <w:szCs w:val="20"/>
        </w:rPr>
        <w:t xml:space="preserve"> </w:t>
      </w:r>
      <w:r>
        <w:rPr>
          <w:rFonts w:ascii="Times New Roman" w:hAnsi="Times New Roman"/>
          <w:color w:val="535396"/>
          <w:sz w:val="20"/>
          <w:szCs w:val="20"/>
        </w:rPr>
        <w:t>1011</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IMP2006-23-24,</w:t>
      </w:r>
      <w:r>
        <w:rPr>
          <w:rFonts w:ascii="Times New Roman" w:hAnsi="Times New Roman"/>
          <w:sz w:val="20"/>
          <w:szCs w:val="20"/>
        </w:rPr>
        <w:t xml:space="preserve"> </w:t>
      </w:r>
      <w:r>
        <w:rPr>
          <w:rFonts w:ascii="Times New Roman" w:hAnsi="Times New Roman"/>
          <w:color w:val="535396"/>
          <w:sz w:val="20"/>
          <w:szCs w:val="20"/>
        </w:rPr>
        <w:t>2991</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Andrés</w:t>
      </w:r>
      <w:r>
        <w:rPr>
          <w:rFonts w:ascii="Times New Roman" w:hAnsi="Times New Roman"/>
          <w:sz w:val="20"/>
          <w:szCs w:val="20"/>
        </w:rPr>
        <w:t xml:space="preserve"> </w:t>
      </w:r>
      <w:r>
        <w:rPr>
          <w:rFonts w:ascii="Times New Roman" w:hAnsi="Times New Roman"/>
          <w:color w:val="535396"/>
          <w:sz w:val="20"/>
          <w:szCs w:val="20"/>
        </w:rPr>
        <w:t>Gil</w:t>
      </w:r>
      <w:r>
        <w:rPr>
          <w:rFonts w:ascii="Times New Roman" w:hAnsi="Times New Roman"/>
          <w:sz w:val="20"/>
          <w:szCs w:val="20"/>
        </w:rPr>
        <w:t xml:space="preserve"> </w:t>
      </w:r>
      <w:r>
        <w:rPr>
          <w:rFonts w:ascii="Times New Roman" w:hAnsi="Times New Roman"/>
          <w:color w:val="535396"/>
          <w:sz w:val="20"/>
          <w:szCs w:val="20"/>
        </w:rPr>
        <w:t>Domínguez</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7</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Andrés</w:t>
      </w:r>
      <w:r>
        <w:rPr>
          <w:rFonts w:ascii="Times New Roman" w:hAnsi="Times New Roman"/>
          <w:sz w:val="20"/>
          <w:szCs w:val="20"/>
        </w:rPr>
        <w:t xml:space="preserve"> </w:t>
      </w:r>
      <w:r>
        <w:rPr>
          <w:rFonts w:ascii="Times New Roman" w:hAnsi="Times New Roman"/>
          <w:color w:val="535396"/>
          <w:sz w:val="20"/>
          <w:szCs w:val="20"/>
        </w:rPr>
        <w:t>Gil</w:t>
      </w:r>
      <w:r>
        <w:rPr>
          <w:rFonts w:ascii="Times New Roman" w:hAnsi="Times New Roman"/>
          <w:sz w:val="20"/>
          <w:szCs w:val="20"/>
        </w:rPr>
        <w:t xml:space="preserve"> </w:t>
      </w:r>
      <w:r>
        <w:rPr>
          <w:rFonts w:ascii="Times New Roman" w:hAnsi="Times New Roman"/>
          <w:color w:val="535396"/>
          <w:sz w:val="20"/>
          <w:szCs w:val="20"/>
        </w:rPr>
        <w:t>Domínguez</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783</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Laura</w:t>
      </w:r>
      <w:r>
        <w:rPr>
          <w:rFonts w:ascii="Times New Roman" w:hAnsi="Times New Roman"/>
          <w:sz w:val="20"/>
          <w:szCs w:val="20"/>
        </w:rPr>
        <w:t xml:space="preserve"> </w:t>
      </w:r>
      <w:r>
        <w:rPr>
          <w:rFonts w:ascii="Times New Roman" w:hAnsi="Times New Roman"/>
          <w:color w:val="535396"/>
          <w:sz w:val="20"/>
          <w:szCs w:val="20"/>
        </w:rPr>
        <w:t>J.</w:t>
      </w:r>
      <w:r>
        <w:rPr>
          <w:rFonts w:ascii="Times New Roman" w:hAnsi="Times New Roman"/>
          <w:sz w:val="20"/>
          <w:szCs w:val="20"/>
        </w:rPr>
        <w:t xml:space="preserve"> </w:t>
      </w:r>
      <w:r>
        <w:rPr>
          <w:rFonts w:ascii="Times New Roman" w:hAnsi="Times New Roman"/>
          <w:color w:val="535396"/>
          <w:sz w:val="20"/>
          <w:szCs w:val="20"/>
        </w:rPr>
        <w:t>Casas;</w:t>
      </w:r>
      <w:r>
        <w:rPr>
          <w:rFonts w:ascii="Times New Roman" w:hAnsi="Times New Roman"/>
          <w:sz w:val="20"/>
          <w:szCs w:val="20"/>
        </w:rPr>
        <w:t xml:space="preserve"> </w:t>
      </w:r>
      <w:r>
        <w:rPr>
          <w:rFonts w:ascii="Times New Roman" w:hAnsi="Times New Roman"/>
          <w:color w:val="535396"/>
          <w:sz w:val="20"/>
          <w:szCs w:val="20"/>
        </w:rPr>
        <w:t>Alfredo</w:t>
      </w:r>
      <w:r>
        <w:rPr>
          <w:rFonts w:ascii="Times New Roman" w:hAnsi="Times New Roman"/>
          <w:sz w:val="20"/>
          <w:szCs w:val="20"/>
        </w:rPr>
        <w:t xml:space="preserve"> </w:t>
      </w:r>
      <w:r>
        <w:rPr>
          <w:rFonts w:ascii="Times New Roman" w:hAnsi="Times New Roman"/>
          <w:color w:val="535396"/>
          <w:sz w:val="20"/>
          <w:szCs w:val="20"/>
        </w:rPr>
        <w:t>Martín</w:t>
      </w:r>
      <w:r>
        <w:rPr>
          <w:rFonts w:ascii="Times New Roman" w:hAnsi="Times New Roman"/>
          <w:sz w:val="20"/>
          <w:szCs w:val="20"/>
        </w:rPr>
        <w:t xml:space="preserve"> </w:t>
      </w:r>
      <w:r>
        <w:rPr>
          <w:rFonts w:ascii="Times New Roman" w:hAnsi="Times New Roman"/>
          <w:color w:val="535396"/>
          <w:sz w:val="20"/>
          <w:szCs w:val="20"/>
        </w:rPr>
        <w:t>Espíndola</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7</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2007-A</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Laura</w:t>
      </w:r>
      <w:r>
        <w:rPr>
          <w:rFonts w:ascii="Times New Roman" w:hAnsi="Times New Roman"/>
          <w:sz w:val="20"/>
          <w:szCs w:val="20"/>
        </w:rPr>
        <w:t xml:space="preserve"> </w:t>
      </w:r>
      <w:r>
        <w:rPr>
          <w:rFonts w:ascii="Times New Roman" w:hAnsi="Times New Roman"/>
          <w:color w:val="535396"/>
          <w:sz w:val="20"/>
          <w:szCs w:val="20"/>
        </w:rPr>
        <w:t>J.</w:t>
      </w:r>
      <w:r>
        <w:rPr>
          <w:rFonts w:ascii="Times New Roman" w:hAnsi="Times New Roman"/>
          <w:sz w:val="20"/>
          <w:szCs w:val="20"/>
        </w:rPr>
        <w:t xml:space="preserve"> </w:t>
      </w:r>
      <w:r>
        <w:rPr>
          <w:rFonts w:ascii="Times New Roman" w:hAnsi="Times New Roman"/>
          <w:color w:val="535396"/>
          <w:sz w:val="20"/>
          <w:szCs w:val="20"/>
        </w:rPr>
        <w:t>Casas;</w:t>
      </w:r>
      <w:r>
        <w:rPr>
          <w:rFonts w:ascii="Times New Roman" w:hAnsi="Times New Roman"/>
          <w:sz w:val="20"/>
          <w:szCs w:val="20"/>
        </w:rPr>
        <w:t xml:space="preserve"> </w:t>
      </w:r>
      <w:r>
        <w:rPr>
          <w:rFonts w:ascii="Times New Roman" w:hAnsi="Times New Roman"/>
          <w:color w:val="535396"/>
          <w:sz w:val="20"/>
          <w:szCs w:val="20"/>
        </w:rPr>
        <w:t>Alfredo</w:t>
      </w:r>
      <w:r>
        <w:rPr>
          <w:rFonts w:ascii="Times New Roman" w:hAnsi="Times New Roman"/>
          <w:sz w:val="20"/>
          <w:szCs w:val="20"/>
        </w:rPr>
        <w:t xml:space="preserve"> </w:t>
      </w:r>
      <w:r>
        <w:rPr>
          <w:rFonts w:ascii="Times New Roman" w:hAnsi="Times New Roman"/>
          <w:color w:val="535396"/>
          <w:sz w:val="20"/>
          <w:szCs w:val="20"/>
        </w:rPr>
        <w:t>Martín</w:t>
      </w:r>
      <w:r>
        <w:rPr>
          <w:rFonts w:ascii="Times New Roman" w:hAnsi="Times New Roman"/>
          <w:sz w:val="20"/>
          <w:szCs w:val="20"/>
        </w:rPr>
        <w:t xml:space="preserve"> </w:t>
      </w:r>
      <w:r>
        <w:rPr>
          <w:rFonts w:ascii="Times New Roman" w:hAnsi="Times New Roman"/>
          <w:color w:val="535396"/>
          <w:sz w:val="20"/>
          <w:szCs w:val="20"/>
        </w:rPr>
        <w:t>Espíndola</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2007-A,</w:t>
      </w:r>
      <w:r>
        <w:rPr>
          <w:rFonts w:ascii="Times New Roman" w:hAnsi="Times New Roman"/>
          <w:sz w:val="20"/>
          <w:szCs w:val="20"/>
        </w:rPr>
        <w:t xml:space="preserve"> </w:t>
      </w:r>
      <w:r>
        <w:rPr>
          <w:rFonts w:ascii="Times New Roman" w:hAnsi="Times New Roman"/>
          <w:color w:val="535396"/>
          <w:sz w:val="20"/>
          <w:szCs w:val="20"/>
        </w:rPr>
        <w:t>389</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Néstor</w:t>
      </w:r>
      <w:r>
        <w:rPr>
          <w:rFonts w:ascii="Times New Roman" w:hAnsi="Times New Roman"/>
          <w:sz w:val="20"/>
          <w:szCs w:val="20"/>
        </w:rPr>
        <w:t xml:space="preserve"> </w:t>
      </w:r>
      <w:r>
        <w:rPr>
          <w:rFonts w:ascii="Times New Roman" w:hAnsi="Times New Roman"/>
          <w:color w:val="535396"/>
          <w:sz w:val="20"/>
          <w:szCs w:val="20"/>
        </w:rPr>
        <w:t>P.</w:t>
      </w:r>
      <w:r>
        <w:rPr>
          <w:rFonts w:ascii="Times New Roman" w:hAnsi="Times New Roman"/>
          <w:sz w:val="20"/>
          <w:szCs w:val="20"/>
        </w:rPr>
        <w:t xml:space="preserve"> </w:t>
      </w:r>
      <w:r>
        <w:rPr>
          <w:rFonts w:ascii="Times New Roman" w:hAnsi="Times New Roman"/>
          <w:color w:val="535396"/>
          <w:sz w:val="20"/>
          <w:szCs w:val="20"/>
        </w:rPr>
        <w:t>Sagués</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10</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2007-E</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Néstor</w:t>
      </w:r>
      <w:r>
        <w:rPr>
          <w:rFonts w:ascii="Times New Roman" w:hAnsi="Times New Roman"/>
          <w:sz w:val="20"/>
          <w:szCs w:val="20"/>
        </w:rPr>
        <w:t xml:space="preserve"> </w:t>
      </w:r>
      <w:r>
        <w:rPr>
          <w:rFonts w:ascii="Times New Roman" w:hAnsi="Times New Roman"/>
          <w:color w:val="535396"/>
          <w:sz w:val="20"/>
          <w:szCs w:val="20"/>
        </w:rPr>
        <w:t>P.</w:t>
      </w:r>
      <w:r>
        <w:rPr>
          <w:rFonts w:ascii="Times New Roman" w:hAnsi="Times New Roman"/>
          <w:sz w:val="20"/>
          <w:szCs w:val="20"/>
        </w:rPr>
        <w:t xml:space="preserve"> </w:t>
      </w:r>
      <w:r>
        <w:rPr>
          <w:rFonts w:ascii="Times New Roman" w:hAnsi="Times New Roman"/>
          <w:color w:val="535396"/>
          <w:sz w:val="20"/>
          <w:szCs w:val="20"/>
        </w:rPr>
        <w:t>Sagués</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2007-E,</w:t>
      </w:r>
      <w:r>
        <w:rPr>
          <w:rFonts w:ascii="Times New Roman" w:hAnsi="Times New Roman"/>
          <w:sz w:val="20"/>
          <w:szCs w:val="20"/>
        </w:rPr>
        <w:t xml:space="preserve"> </w:t>
      </w:r>
      <w:r>
        <w:rPr>
          <w:rFonts w:ascii="Times New Roman" w:hAnsi="Times New Roman"/>
          <w:color w:val="535396"/>
          <w:sz w:val="20"/>
          <w:szCs w:val="20"/>
        </w:rPr>
        <w:t>654</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Hechos:</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Cámara confirmó la resolución de la Inspección General de Justicia que denegó a una asociación, que tiene como fin luchar para que el Estado y la sociedad no discriminen al travestismo como una identidad propia, la autorización para funcionar como persona jurídica, en el marco del art. 33, segunda parte, ap. 1° del Cód. Civil. Contra dicha decisión la asociación peticionaria interpuso un recurso extraordinario, cuya desestimación dio lugar a la presentación directa. La Corte Suprema de Justicia de la Nación hizo lugar a la queja, declaró procedente el recurso extraordinario y revocó la sentencia apelada.  </w:t>
      </w:r>
    </w:p>
    <w:p w:rsidR="00C30FD8" w:rsidRDefault="00C30FD8" w:rsidP="00C30FD8">
      <w:pPr>
        <w:widowControl w:val="0"/>
        <w:autoSpaceDE w:val="0"/>
        <w:autoSpaceDN w:val="0"/>
        <w:adjustRightInd w:val="0"/>
        <w:spacing w:after="0" w:line="240" w:lineRule="auto"/>
        <w:ind w:firstLine="300"/>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Sumarios:</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La sentencia confirmatoria de la resolución de la Inspección General de Justicia que denegó personería jurídica a una asociación, que tiene como fin luchar para que el Estado y la sociedad no discriminen al travestismo como una identidad propia, restringe el derecho de asociación consagrado en el art. 14 de la Constitución Nacional y por los Tratados Internacionales de igual jerarquía reconocidos por el art. 75 inc. 22 de la Ley Fundamental.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6"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Cabe revocar la sentencia confirmatoria de la resolución de la Inspección General de Justicia que denegó personería jurídica a una asociación que tiene como fin luchar para que el Estado y la sociedad no discriminen al travestismo como una identidad propia, pues ambas decisiones estrecharon el concepto de bien común en perjuicio de la entidad requirente y rechazaron su personería no por el hecho de que sus metas se dirigieran a mejorar la situación de un determinado grupo necesitado de auxilio — propósito que comparte con numerosas personas jurídicas— , sino en virtud de la orientación sexual del grupo social peticionante, vulnerando el principio de igualdad ante la ley.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Corresponde revocar la sentencia confirmatoria de la resolución de la Inspección General de Justicia que denegó personería jurídica a una asociación, que tiene como fin luchar para que el Estado y la sociedad no discriminen al travestismo como una identidad propia, con sustento en que dichos objetivos no tienden al bien común, ya que la decisión apelada ha intentado reemplazar las opciones éticas personales cuya autonomía reconoce el art. 19 de la Constitución Nacional.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lastRenderedPageBreak/>
        <w:fldChar w:fldCharType="end"/>
      </w:r>
      <w:hyperlink r:id="rId7"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Si bien la negativa de autorización emanada de la Inspección General de Justicia, respecto a la solicitud presentada por una entidad que tiene como fin luchar para que el Estado y la sociedad no discriminen al travestismo como una identidad propia, no impide a la peticionaria reunirse para la defensa y promoción de sus intereses y, eventualmente, ser considerada como una simple asociación civil en alguna de las variantes previstas en el art. 46 del Cód. Civil, lo cierto es que no le permite disfrutar de todos los derechos que ejercen las asociaciones autorizadas.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8"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 El concepto de fines útiles, contemplado en el art. 14 de la Constitución Nacional, que condiciona el derecho de asociarse sólo podrá ser definido ponderando el alcance de ese derecho en relación funcional con otras garantías esenciales del Estado Constitucional.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9"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6. Solo la ilicitud de promover la asociación un objeto común que desconozca o violente las exigencias que para la protección a la dignidad de las personas establece el art. 19 de la Constitución Nacional o que, elípticamente o derechamente, persiga la destrucción de las cláusulas inmutables del pacto fundacional de la República, podría justificar una restricción al derecho de asociación.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0"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 El concepto de "bien común", previsto en el art. 33, segunda parte, apartado 1°, del Cód. Civil, no es una abstracción independiente de las personas o un espíritu colectivo diferente de éstas y menos aun lo que la mayoría considere "común" excluyendo a las minorías, sino que simplemente es el bien de todas las personas, que suelen agruparse según intereses dispares, contando con que toda la sociedad contemporánea es </w:t>
      </w:r>
      <w:r>
        <w:rPr>
          <w:rFonts w:ascii="Times New Roman" w:hAnsi="Times New Roman"/>
          <w:sz w:val="20"/>
          <w:szCs w:val="20"/>
        </w:rPr>
        <w:lastRenderedPageBreak/>
        <w:t xml:space="preserve">necesariamente plural.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1"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8. Negar propósitos de bien común a la asociación que tiene como fin luchar para que el Estado y la sociedad no discriminen al travestismo como una identidad propia implicaría desconocer el principio con arreglo al cual el bien colectivo tiene una esencia pluralista, pues sostener que ideales como el acceso a la salud, educación, trabajo, vivienda y beneficios sociales, así como propender a la no discriminación, es sólo un beneficio propio de los miembros de esa agrupación, importa olvidar que esas prerrogativas son propósitos que hacen al interés del conjunto social como objetivo esencial y razón de ser del Estado de cimentar una sociedad democrática.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2"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9. A una mayor cantidad de asociaciones corresponde el fortalecimiento de los lazos de integración entre las personas que, al tomar conciencia de que pertenecen a un grupo de referencia reconocido por la comunidad de la que forman parte, desalienta la búsqueda de soluciones irracionales de los conflictos.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3"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10. La diferencia de trato hacia un determinado grupo no puede justificarse solamente por deferencia hacia el juicio de conveniencia de los funcionarios administrativos de la Inspección General de Justicia que denegaron personería jurídica a una asociación que tiene como fin luchar para que el Estado y la sociedad no discriminen al travestismo como una identidad propia, sino que ello exige al menos una conexión racional entre un fin estatal determinado y la medida de que se trate.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4"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lastRenderedPageBreak/>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 El art. 19 de la Constitución Nacional, en combinación con el resto de las garantías y los derechos reconocidos, no permite dudar del cuidado que los constituyentes pusieron en respetar la autonomía de la conciencia como esencia de la persona — y, por consiguiente, la diversidad de pensamientos y valores—  y no obligar a los ciudadanos a una uniformidad que no condice con la filosofía política liberal que orienta a nuestra norma fundamental.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5"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12. Siempre que una entidad peticionaria llene el recaudo al cual la Constitución Nacional condiciona el reconocimiento del derecho a asociarse, la denegación de personería jurídica causa un agravio, en tanto le impide obtener el status más elevado contemplado por las normas reglamentarias del derecho de asociación.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6"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13. Los agravios de la asociación a la que la Inspección General de Justicia le denegó personería jurídica, lo cual fue confirmado por la Alzada, suscitan una cuestión federal apta para su examen en la instancia recursiva extraordinaria, toda vez que plantean la validez de la interpretación que el tribunal a quo efectuó respecto de preceptos del Código Civil, objetándola como violatoria de garantías reconocidas por la Constitución Nacional y por Tratados Internacionales de igual jerarquía, en los términos del art. 14 inc. 3° de la ley 48 (Adla, 1852-1880, 364).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7"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14. Cabe revocar la sentencia que confirma la resolución de la Inspección General de Justicia que denegó personería jurídica a una asociación, que tiene como fin luchar para que el Estado y la sociedad no discriminen al travestismo como una identidad propia, con sustento en que dicho objetivo no tiende al bien común, ya que el decisorio no intenta siquiera conciliar la rigurosa comprensión asignada al texto infraconstitucional en juego con los derechos reconocidos desde la reforma constitucional en la Ley Suprema para las asociaciones que, como la actora, tienen por objeto evitar cualquier forma de discriminación, al atribuírsele capacidad procesal para pretender ante el Poder Judicial la tutela del derecho señalado (del voto del doctor Fayt).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lastRenderedPageBreak/>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8"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15. El umbral de utilidad exigido por la Constitución Nacional — art. 14—  es indiscutiblemente satisfecho por toda agrupación voluntaria de personas que, por vías pacíficas y sin incitación a la violencia, convenga en la obtención de cualquiera de los múltiples objetos o pretensiones que, respetando los principios inmutables del sistema democrático, no ofendan al orden, la moral pública ni perjudiquen — de modo cierto y concreto—  bienes o intereses de un tercero (del voto del doctor Fayt).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9"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16. La mera confrontación entre la cerrada y literal exégesis llevada a cabo en la sentencia que confirma la resolución de la Inspección General de Justicia que denegó personería jurídica a una asociación, que tiene como fin luchar para que el Estado y la sociedad no discriminen al travestismo como una identidad propia, con sustento en que dicho objetivo no tiende al bien común, y el contenido que debe atribuirse al derecho constitucional de asociarse con fines útiles en el marco de una sociedad democrática fundada en un Estado de Derecho, demuestra que el fallo recurrido es insostenible por haber realizado una interpretación de los textos infraconstitucionales en juego que afecta en forma directa e inmediata las garantías superiores invocadas por la peticionaria y puestas en discusión en este proceso (del voto del doctor Fayt).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20"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17. La sentencia que confirma la resolución de la Inspección General de Justicia que denegó personería jurídica a una asociación, que tiene como fin luchar para que el Estado y la sociedad no discriminen al travestismo como una identidad propia, en la que sin más se sostiene que el Estado no está obligado a tal reconocimiento por norma internacional alguna, contradice la previsión del art. 75 inc. 22 de la Constitución Nacional, que al otorgar a los pactos internacionales que reseña orden jerárquico normativo superior a las leyes, remite a la supremacía enunciada en el art. 31 de la Constitución Nacional de los instrumentos que constituyen la Ley Suprema de la Nación (del voto del doctor Fayt).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21"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sz w:val="20"/>
          <w:szCs w:val="20"/>
        </w:rPr>
        <w:lastRenderedPageBreak/>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b/>
          <w:bCs/>
          <w:sz w:val="20"/>
          <w:szCs w:val="20"/>
        </w:rPr>
        <w:t>Texto</w:t>
      </w:r>
      <w:r>
        <w:rPr>
          <w:rFonts w:ascii="Times New Roman" w:hAnsi="Times New Roman"/>
          <w:sz w:val="20"/>
          <w:szCs w:val="20"/>
        </w:rPr>
        <w:t xml:space="preserve"> </w:t>
      </w:r>
      <w:r>
        <w:rPr>
          <w:rFonts w:ascii="Times New Roman" w:hAnsi="Times New Roman"/>
          <w:b/>
          <w:bCs/>
          <w:sz w:val="20"/>
          <w:szCs w:val="20"/>
        </w:rPr>
        <w:t>Completo</w:t>
      </w:r>
      <w:proofErr w:type="gramStart"/>
      <w:r>
        <w:rPr>
          <w:rFonts w:ascii="Times New Roman" w:hAnsi="Times New Roman"/>
          <w:b/>
          <w:bCs/>
          <w:sz w:val="20"/>
          <w:szCs w:val="20"/>
        </w:rPr>
        <w:t>:</w:t>
      </w:r>
      <w:r>
        <w:rPr>
          <w:rFonts w:ascii="Times New Roman" w:hAnsi="Times New Roman"/>
          <w:sz w:val="20"/>
          <w:szCs w:val="20"/>
        </w:rPr>
        <w:t xml:space="preserve">  Dictamen</w:t>
      </w:r>
      <w:proofErr w:type="gramEnd"/>
      <w:r>
        <w:rPr>
          <w:rFonts w:ascii="Times New Roman" w:hAnsi="Times New Roman"/>
          <w:sz w:val="20"/>
          <w:szCs w:val="20"/>
        </w:rPr>
        <w:t xml:space="preserve"> del Procurador General de la Nación: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Suprema Corte: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 Los señores jueces de la Sala "K" de la Cámara Nacional de Apelaciones en lo Civil, confirmaron la Resolución de la Inspección General de Justicia N11142/03 que denegó a la Asociación Lucha por la Identidad Travesti-Transexual "ALITT" la autorización para funcionar como persona jurídica, en el marco del artículo 33, segunda parte, apartado 1° del Código Civil. Para así decidir, en lo sustancial, señalaron, que si bien las personas jurídicas de existencia posible son el resultado puro y exclusivo de la voluntad o poder humano, el ordenamiento civil establece los principios fundamentales a que deben subordinarse, concernientes a su personalidad, derechos y responsabilidades.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Las asociaciones, bajo cuya forma pretende actuar la actora, — agregaron—  deben tener por principal objeto el bien común (artículo 33 inciso lo del Código Civil). Su acto constitutivo — indicaron—  es voluntario y lícito, pero la personalidad jurídica la adquieren por la intervención de la Inspección General de Justicia — art. 45 del Código Civil</w:t>
      </w:r>
      <w:proofErr w:type="gramStart"/>
      <w:r>
        <w:rPr>
          <w:rFonts w:ascii="Times New Roman" w:hAnsi="Times New Roman"/>
          <w:sz w:val="20"/>
          <w:szCs w:val="20"/>
        </w:rPr>
        <w:t>— ,</w:t>
      </w:r>
      <w:proofErr w:type="gramEnd"/>
      <w:r>
        <w:rPr>
          <w:rFonts w:ascii="Times New Roman" w:hAnsi="Times New Roman"/>
          <w:sz w:val="20"/>
          <w:szCs w:val="20"/>
        </w:rPr>
        <w:t xml:space="preserve"> que en el marco de las funciones reguladas por la ley 22.315, debe emitir una decisión administrativa que les permita funcionar regularmente. En el caso, la denegatoria del órgano estatal se sustentó, en no considerar satisfecho el mencionado requisito legal, para lo cual — dijeron— el organismo de aplicación realizó un pormenorizado estudio de los propósitos enunciados en el artículo 2° del estatuto de la entidad, que no puede ser calificado de ilegítimo o arbitrario.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Sostuvieron, sobre la base de citas legales y jurisprudenciales, que los conceptos de bien común y legalidad no deben ser asimilados. En el caso, en el marco de la mencionada finalidad de bien común a que deben ajustarse por disposición legal las asociaciones — art. 33 inciso I del Código Civil— interpretaron que los objetivos expuestos por los recurrentes, no se vinculan con ese propósito, sino que representan sólo una utilidad particular para los componentes de la asociación y por extensión para aquellos que participan de sus ideas. Concluyeron que la misma no se proyecta en beneficio positivo alguno para la sociedad. En consecuencia predicaron que luchar para que el estado y la sociedad no discriminen el travestismo como una identidad propia, asegurarle una mejor calidad de vida, implementar campañas exigiendo su derecho a la salud, educación, trabajo y vivienda y demás beneficios sociales, propiciar espacios de reflexión, campañas de divulgación y asesoramiento en materia de derechos sexuales y antidiscriminación, son objetivos que no tienden al bien común.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miembros de dicho grupo — agregaron— cuentan con derechos constitucionalmente reconocidos — Como los demás ciudadanos—  para ocurrir ante organismos estatales o estrados judiciales. Es en ejercicio de dichas prerrogativas que formularon su petición, la que fue rechazada por la Inspección General de Justicia, sin que se configurara trato discriminatorio alguno, sino el ejercicio de facultades discrecionales que le competen como órgano de control, en las que no pueden inmiscuirse los jueces.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las personas, destacan, gozan de la prerrogativa de formar organizaciones, asociaciones, grupos no gubernamentales (etc.) — amparados por el art. 14 de la Constitución Nacional— sin que sea necesario reconocimiento estatal ni permiso alguno. A ello se refiere la mencionada garantía constitucional que consideran preservada en el caso, desde que los interesados podrían funcionar bajo otras formas legales existentes — simples asociaciones o asociaciones irregulares— .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Descartan también que se hubiera demostrado que la resolución administrativa que se cuestiona incurra en "calificaciones sospechosas en los términos de los artículos 2.2 del Pacto Internacional de Derechos Económicos, Sociales y Culturales, y 2.1 del Pacto Internacional de Derechos Civiles y Políticos", puntualizando que el Estado Argentino no puede verse compelido en virtud de ninguna norma internacional a reconocer asociaciones que no estime útiles.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II. Contra dicha decisión la Asociación peticionante interpuso recurso extraordinario a fs. 122/137, el que desestimado a fs. 150 da lugar a esta presentación directa.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recurrente se agravia de que la sentencia ratifique en forma arbitraria, una interpretación inconstitucional del artículo 33 del Código Civil contraria a las garantías de igualdad ante la ley, de trato y de oportunidades consagradas por la Constitución Nacional y los Tratados Internacionales (arts. 16,75 inciso 23, y en particular lo dispuesto en los artículos 2 y 7 de la Declaración Universal de Derechos Humanos, 1 y 24 de la Convención Americana sobre Derechos Humanos, 1 y 26 del Pacto Internacional de Derechos Civiles y Políticos y 2.2 del Pacto de Derechos Económicos, Sociales y Culturales) alterando con ello la jerarquía normativa establecida en el artículo 31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 argumenta que la sentencia es nula por carecer de una adecuada fundamentación en derecho respecto a los hechos en examen. y tener sustento en afirmaciones dogmáticas, provenientes no sólo de la mera voluntad del tribunal, sino de sus propios prejuicios, defectos que la descalifican como acto jurisdiccional. La autorización que se deniega se relaciona con la identidad sexual de los asociados: los pretendidos fundamentos acerca del objeto son aparentes, una forma de discriminación basada en un concepto dogmático, rígido y </w:t>
      </w:r>
      <w:r>
        <w:rPr>
          <w:rFonts w:ascii="Times New Roman" w:hAnsi="Times New Roman"/>
          <w:sz w:val="20"/>
          <w:szCs w:val="20"/>
        </w:rPr>
        <w:lastRenderedPageBreak/>
        <w:t xml:space="preserve">prejuicioso de la realidad.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Admite la facultad de control del ente estatal pero luego de reseñar sus objetivos sociales, concluye que el pronunciamiento de la alzada denota un alto contenido discriminatorio, ya que el fin de esa entidad no consiste en impulsar o promover estilos de vida y/o prácticas sexuales determinadas— a las que consideran propias de su derecho a la intimidad— , sino que tiende — como surge con claridad del texto del estatuto—  a que se reconozca que cuentan con una identidad propia, eliminándose prácticas marginatorias y estigmatizantes que vinculan al travestismo con la violencia y la prostitución como única alternativa de vida.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Destaca que el sentido del objeto de la asociación conlleva fomentar prácticas ciudadanas más democráticas e inclusive que tiendan a la eliminación de la discriminación a la que son sometidos determinados grupos por su orientación sexual y apariencia física. Expresan que el tribunal entiende que el problema de las personas travestis y transexuales es sólo de ellos, por lo que no tiene porque interesar ni al resto del colectivo social y mucho menos al Estado. Mejorar sus condiciones de vida no haría — para los jueces de la causa—  al bien común de la sociedad; como tampoco a su propósito de integrarse socialmente. Discrepa la recurrente con dicho concepto de bien común, ya que tales valores son propios de un estado de derecho, y se vinculan con el interés general de la sociedad.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 que sostener, como lo hace el a-quo, que el goce de igualdad de oportunidades de un sector determinado no hace al bien común de toda la sociedad, configura una negación de aquella prerrogativa, y una verdadera discriminación, inadmisible en un tribunal de justicia, que contradice los fundamentos de normas federales, como la ley antidiscriminatoria 23.592, sin explicitar el fundamento que habilitaría al Estado a conceder ciertos beneficios a unos y no a otros, ni dar un criterio objetivo o parámetros constitucionales que permitan conocer explícitamente las condiciones requeridas para ello. En cuanto a su posibilidad de organizarse bajo otras formas societarias, la alzada habría omitido tratar los agravios expuestos en el correspondiente memorial.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considera irrazonable el actuar del Estado en tanto reconoce personalidad a determinados grupos, con una identidad sexual definida — comunidad homosexual—  pero se la deniega en idénticas condiciones a otro — travestistransexuales— .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III. Cuestiones como las aquí debatidas, relacionadas con la interpretación que efectuaron los jueces de la causa de los artículos 33, apartado segundo, primer párrafo y 45 del Código Civil, en relación con el estatuto de la recurrente, hermenéutica que condujo a la denegación a una entidad de su pedido para funcionar como asociación, remite en principio, al examen de cuestiones de hecho y temas legislados por el derecho común (v. Fallos 314:1531 considerando sexto del voto del Dr. Ricardo Levene; undécimo del Dr. Cavagna Martínez).  Por ello, prima-facie la intervención del Tribunal estaría condicionada a la circunstancia de que la sentencia atacada sea susceptible de ser considerada arbitraria, en los términos de la tradicional doctrina sobre el punto.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Sin embargo, no cabe desconocer la relevancia de los agravios de la recurrente vinculados con la afectación de sus derechos de asociarse con fines útiles, igualdad y defensa en juicio reconocidos en los artículos 14, 16 y 18 de la Constitución Argentina y en Tratados Internacionales, y la propia interpretación inconstitucional del articulo 33 del Código Civil que se invoca.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Pero como la actora apeló la sentencia, con sustento en la falta de fundamento del fallo de la alzada (v. fs. 123 vta. punto 4), previo a examinar el fondo del asunto, procede recordar que, conforme lo ha establecido el Tribunal, cuando como ocurre en el caso el recurso extraordinario se funda, por una parte en agravios de naturaleza federal, tales como la confrontación de derechos constitucionales y la inteligencia de las cláusulas de la Constitución Nacional que los instituyen, y por otra, en la arbitrariedad del pronunciamiento, corresponde considerar en primer término esta última.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que de existir arbitrariedad, deviene insustancial el tratamiento de los demás argumentos, ya que no habría sentencia propiamente dicha (v. doctrina de Fallos: 312:1034; 317:1455; 321:407, entre otros).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la resolución que es objeto del recurso extraordinario en estudio, es susceptible de ser descalificada como acto judicial, desde que omite un estudio pormenorizado de los problemas conducentes para la correcta dilucidación del pleito. Además, ha efectuado afirmaciones dogmáticas, que sólo otorgan al fallo una fundamentación aparente, situación que redunda en un innegable menoscabo del derecho de defensa de la recurrente (v. Fallos: 300:522 y 1163; 301:602; 302:1191; 311:341; 312:1953).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 mi juicio el centro de la cuestión gira en tomo alas apreciaciones que efectúan los jueces de la causa, cuando consideran que la entidad recurrente no cumple con el objeto de "bien común" requerido por el artículo 33 segundo párrafo, apartado 1° del Código Civil como elemento constitutivo de las asociaciones, precepto cuya constitucionalidad no ha sido puesta en tela de juicio en este proceso.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No se trata aquí de establecer el sentido verdadero o falso de tal expresión el que en muchos casos puede verse condicionado por diferentes posiciones religiosas, morales o políticas, para descalificar la sentencia. Es claro que la afirmación del a quo, cuando predica que la finalidad de la entidad en cuestión sólo beneficia a un grupo de personas resulta una afirmación de naturaleza dogmática y por tanto arbitraria, desde que, ese parámetro permitiría encuadrar a numerosas asociaciones que funcionan como tales, autorizadas por el organismo de contralor.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En el estatuto de la entidad actora se individualizan, entre otros objetivos, lograr una mejor calidad de vida para sus integrantes, su reconocimiento como sujetos de derecho, con posibilidades de exigir el derecho a la salud, educación, trabajo, vivienda y demás beneficios sociales (v. fojas 1/12 del estatuto de la entidad, titulo I artículo 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Cabe recordar aquí que V.E. ha dicho que el bien común es un concepto referido a las condiciones de vida social que permiten a los integrantes de una comunidad alcanzar el mayor grado de desarrollo personal y que tiende como uno de sus imperativos a la "organización de la vida social en forma que preserve y promueva la plena realización de los derechos de la persona humana" (v. doctrina de Fallos 327:3753). Se ha considerado erróneo plantear el problema de la persona y del bien común en términos de oposición (v. Fallos 319:3040 — voto del Dr. Carlos Fayt— ). y es que si los derechos individuales no son absolutos y sí susceptibles de razonable reglamentación, también lo es que el ejercicio armónico de los derechos y garantías constitucionales requiere un adecuado equilibro en las relaciones de la comunidad hacia cada uno de sus miembros.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Corte Interamericana de Derechos Humanos (Pacto de San José de Costa Rica aprobado por ley 23.054) en su opinión consultiva OC-6/86 del 9 de mayo de 1986, consideró que el bien común debe interpretarse como integrante del orden público de los estados democráticos, y que es posible entenderlo como un concepto referente a las condiciones de la vida social que permite a los integrantes de la comunidad alcanzar el mayor grado de desarrollo personal y la mayor vigencia de valores democráticos. En tal sentido se ponderó como un imperativo del bien común la organización de la vida social en forma que se fortalezca el funcionamiento de las instituciones democráticas, preservando y promoviendo la plena realización de los derechos de la persona humana. Destacó también, que de ninguna manera puede invocarse el bien común como medio para suprimir derechos garantizados por la Convención (v. puntos 30 y 31).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claro en ese contexto, que los jueces de la anterior instancia cuando sostienen que los objetivos de la demandante resultan totalmente ajenos a ese requisito legal, realizan una interpretación parcial e irrazonable del estatuto agregado a fojas 1/12, ya que de él surgen propósitos — como los que se reseñan en los párrafos que anteceden— relacionados con derechos básicos de la persona humana reconocidos en nuestra Constitución Nacional y en Tratados Internacionales, de claros fines no lucrativos, útiles y aun desinteresados. En tal sentido cabe poner de relieve que lo "común" hace referencia a lo que por su naturaleza no puede ser alcanzado, ni se agota en el ámbito de un solo individuo, sino que es obtenido y compartido por todos o parte de los integrantes de un grupo. Excede entonces los parámetros de razonabilidad que debe evidenciar todo pronunciamiento judicial, sostener que ideales como el acceso a la salud, educación, trabajo, vivienda y beneficios sociales de determinados grupos es sólo un beneficio propio de los miembros de esa agrupación, desde que en realidad esas prerrogativas son propósitos que hacen al interés del conjunto social, como objetivo esencial y razón de ser del Estado, al amparo de los artículos 14 y 16 de la Constitución Nacional y de los Tratados Internacionales incorporados en su artículo 75 inciso 22.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exceden los referidos limites de razonabilidad, afirmaciones del pronunciamiento tales como "que el Estado Argentino no se encuentra compelido en virtud de ninguna norma internacional al reconocimiento de una asociación que no estime beneficiosa o útil para el desarrollo social de la comunidad"; o "que no es menester hacer participar al Estado de un emprendimiento que considera disvalioso para la totalidad de los convivientes dentro de su ámbito de acción"; o bien "que no está clausurado el recurso a formas de defensa contra la discriminación también marginal, que es una decisión del grupo que se niega a reconocer la realidad que los rodea".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mencionados conceptos importan en primer lugar, expresar una particular y subjetiva opinión de los jueces sobre la utilidad del accionar de una asociación, que carece de fundamentación objetiva. En segundo lugar, al agregar sin más que el Estado no está obligado a tal reconocimiento por norma. internacional alguna, contradice la previsión del artículo 75 inciso 22 de la Constitución Nacional, que otorga a los pactos internacionales que reseña orden jerárquico normativo superior a las leyes: Esos acuerdos reconocen al individuo — entre otros—  el derecho a la igualdad y de asociarse que, en el caso, los jueces restringen sin fundamentos razonables que lo justifiquen, sobre la base de requisitos legales de inferior jerarquía.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segundo lugar, esas manifestaciones incorporan a la decisión administrativa, motivaciones diversas a la del bien común exigida por la ley como requisito para otorgar la personalidad jurídica. Ello es así desde que se hace, sin dar fundamento alguno para una conclusión, que expresa mas bien un criterio personal, subjetivo y esencialmente modificable según quien sea el que realiza la apreciación.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IV. Desde otro punto de vista, también incurren en arbitrariedad los jueces, cuando sostienen la improcedencia del reclamo de la actora, sobre la base de su posibilidad cierta de operar bajo otros sistemas societarios (simples asociaciones, sociedades irregulares, etc.). Omiten así estudiar los diferentes efectos jurídicos que nacen de dichos institutos y los perjuicios que irrogaría a la peticionante actuar en el marco de un encuadre legal diferente del que pretende, problemática que fue puesta de resalto por el Tribunal en un caso análogo (v. Fallos: 314:1531 voto del Dr. Petracchi punto 10).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sentencia recurrida tampoco cuenta con argumentos suficientes, cuando se refiere a la posibilidad de examen judicial de decisiones administrativas como la impugnada en este proceso, cuya irrevisibilidad se </w:t>
      </w:r>
      <w:r>
        <w:rPr>
          <w:rFonts w:ascii="Times New Roman" w:hAnsi="Times New Roman"/>
          <w:sz w:val="20"/>
          <w:szCs w:val="20"/>
        </w:rPr>
        <w:lastRenderedPageBreak/>
        <w:t xml:space="preserve">desliza. Cabe recordar que V.E. sostuvo que la personería jurídica denegada por la autoridad de aplicación puede ser objeto de examen, el cual se limita a los vicios de ilegitimidad y arbitrariedad (art 45 del I Código Civil y 16 de la ley 22315, v. Fallos 314:1404).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Dicho control judicial posterior, es precisamente una eventual tutela de las garantías del afectado (v. sobre el particular doctrina de Fallos 322: 2848) y faculta a la alzada para examinar las defensas atinentes ala legitimidad de las decisiones recurridas (Fallos 312:3201).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Además si bien cabe reconocer a la Inspección General de Justicia cierta amplitud de criterio para el cumplimiento de sus funciones, no es menos cierto que dicho ente estatal debe fundar las distinciones o exclusiones que realiza en motivos objetivos razonados y razonables. Justamente por este motivo puede en ejercicio de su poder de policía, exigir las modificaciones a los estatutos que sean necesarias conforme a las necesidades reales de la asociación (v. Fallos 311:2817).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caso, la quejosa invocó ser objeto de un tratamiento incongruente del Estado — atentatorio de su derecho de igualdad—  respecto de otras organizaciones — en especial la comunidad homosexual—  asociación que en idénticas circunstancias fue autorizada a funcionar, cuestión conducente que independientemente de la oportunidad de su planteo no podía desconocer ni el organismo administrativo del que emanó la decisión (Resolución del Inspector General de Justicia n°164 del 18 de marzo de 1992) ni el tribunal a quo en su sentencia. En virtud de ello y de los demás argumentos expuestos en los párrafos que anteceden, cabe descalificar la sentencia en tanto pondera que lo decidido por la Inspección General de Justicia es propio de facultades discrecionales que, ejercidas de un modo razonable, competen al organismo y en las que los jueces no podrían inmiscuirse.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Cabe advertir que si alguna de las cláusulas del estatuto de la apelante puede resultar confusa (v. esp. cláusula segunda a) fojas 1 de los autos principales) los jueces y la propia Inspección de Justicia cuentan con las vías idóneas para requerir su adecuado esclarecimiento.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Finalmente también carecen de sustento legal y fáctico suficiente las conclusiones del a-quo respecto a que el reconocimiento como asociación de una entidad importaría imponerle subvenciones o aportes al Estado para beneficiarla, o que éste deba asociarse económicamente con campañas que la organización propicie.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 hasta aquí reseñado muestra que en el caso los jueces no dieron cabal respuesta, como es menester a los argumentos esgrimidos por la asociación requirente, omisión ésta que adquiere particular relevancia en cuanto se observa la importancia que tribunales y organismos internacionales han otorgado a temas relacionados con prácticas discriminatorias fundadas en la identidad sexual de los individuos (U.S Supreme Court "Romer vs. Evans" (1996); Corte Europea de Derechos Humanos "Christine Goodwin vs. United Kingdom" (Application 28957/95); v. asimismo Comisión Europea de Derechos Humanos Application n°9532/81 Mark Rees vs. United Kingdom 12/12/1984).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soy de opinión, que corresponde hacer lugar a la queja, declarar mal denegado el recurso extraordinario interpuesto, dejar sin efecto la sentencia y disponer se dicte nuevo pronunciamiento por quien corresponda. —  Julio 20 de 2006. —  Esteban Righi.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Buenos Aires, noviembre 21 de 2006.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Sala K de la Cámara Nacional de Apelaciones en lo Civil, al desestimar el recurso deducido por la peticionaria, confirmó la resolución de la Inspección General de Justicia 1142/03 que denegó a la Asociación Lucha por la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Identidad Travesti -Transexual ("ALITT") la autorización para funcionar como persona jurídica, en el marco del art. 33, segunda parte, ap. 1°, del Código Civil.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para así decidir dicho tribunal afirmó, en lo sustancial, que si bien las personas jurídicas de existencia posible son el resultado puro y exclusivo de la voluntad o poder humano, el ordenamiento civil establece los principios fundamentales a que deben subordinarse, concernientes a su personalidad, derechos y responsabilidades. Agregó que las asociaciones, bajo cuya forma pretende actuar la actora, deben tener por principal objeto el bien común (art. 33, segunda parte, ap. 1°, del Código Civil); su acto constitutivo CindicóCes voluntario y lícito, pero la personalidad jurídica la adquieren por la intervención de la Inspección General de Justicia (en adelante "I.G.J.") "art. 45 del código citado", que en el marco de las funciones reguladas por la ley 22.315 debe emitir una decisión administrativa que permita a aquéllas funcionar regularmente.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caso, la decisión denegatoria del órgano estatal se sustentó en no considerar satisfecho el mencionado requisito legal, para lo cual "subrayó la cámara" el organismo de aplicación realizó un pormenorizado estudio de los propósitos enunciados en el art. 20 del estatuto de la entidad, que no puede ser calificado de ilegítimo o arbitrario.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Sostuvo la cámara interviniente, sobre la base de citas legales y jurisprudenciales, que los conceptos de bien común y legalidad no deben ser asimilados. En el caso, en el marco de la mencionada finalidad de bien común a que deben ajustarse por disposición legal las asociaciones "art. 33, segunda parte, ap. 1°, del Código Civil" interpretó que los objetivos expuestos por los recurrentes no se vinculan con ese propósito, sino que representan sólo una utilidad particular para los componentes de la asociación y "por extensión" para aquellos que participan </w:t>
      </w:r>
      <w:r>
        <w:rPr>
          <w:rFonts w:ascii="Times New Roman" w:hAnsi="Times New Roman"/>
          <w:sz w:val="20"/>
          <w:szCs w:val="20"/>
        </w:rPr>
        <w:lastRenderedPageBreak/>
        <w:t xml:space="preserve">de sus ideas. Para ello, el tribunal a quo sostuvo en diversos pasajes del pronunciamiento que el bien común se satisface cuando el objeto de la asociación es socialmente útil, entendiendo por tal expresión a un bien general público extendido a toda la sociedad, de manera que los objetivos se proyecten en beneficios positivos, de bienestar común, hacia la sociedad en general. En suma, se afirmó que el Estado argentino no puede ser compelido en virtud de ninguna norma internacional a reconocer una asociación que no estime útil para el desarrollo social de la comunidad. Concluyó que la misma no se proyecta en beneficio positivo alguno para la sociedad por lo que, en consecuencia, predicó que luchar para que el Estado y la sociedad no discriminen el travestismo como una identidad propia, asegurarle una mejor calidad de vida, implementar campañas exigiendo su derecho a la salud, educación, trabajo y vivienda y demás beneficios sociales, propiciar espacios de reflexión, campañas de divulgación y asesoramiento en materia de derechos sexuales y antidiscriminación, son objetivos que no tienden al bien común sino sólo persiguen beneficios personales para los integrantes del grupo conformado por personas que detentan esa condición (la itálica no corresponde a la sentencia de cámara).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miembros de dicho grupo "agregó la alzada" cuentan con derechos constitucionalmente reconocidos "como los demás ciudadanos" para ocurrir ante organismos estatales o estrados judiciales. Es en ejercicio de dichas prerrogativas que formularon su petición, la que fue rechazada por la I.G.J., sin que se configurara trato discriminatorio alguno sino el ejercicio de facultades discrecionales que le competen como órgano de control, en las que no pueden inmiscuirse los jueces.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las personas, destacó el pronunciamiento, gozan de la prerrogativa de formar organizaciones, asociaciones o grupos no gubernamentales amparados por el art. 14 de la Constitución Nacional, sin que sea necesario reconocimiento estatal ni permiso alguno. A ello se refiere la mencionada garantía constitucional que consideran preservada en el caso, desde que los interesados podrían funcionar bajo otras formas legales existentes, como las simples asociaciones o asociaciones irregulares.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otro lado, descartó también que se hubiera demostrado que la resolución administrativa que se cuestiona incurra en "calificaciones sospechosas" en los términos de los artículos 2.2 del Pacto Internacional de Derechos Económicos, Sociales y Culturales, y 2.1 del Pacto Internacional de Derechos Civiles y Políticos.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contra dicha decisión la asociación peticionaria interpuso recurso extraordinario a fs. 122/137, cuya desestimación a fs. 150/151 dio lugar a esta presentación directa. La recurrente se agravia de que la sentencia ratifique, en forma arbitraria, una interpretación inconstitucional del art. 33 del Código Civil por resultar contraria a la libertad de asociarse con fines útiles y a las garantías de igualdad ante la ley, de trato y de oportunidades consagradas por la Constitución Nacional y los Tratados Internacionales (arts. 14, 16 y 75, inc. 23; y en particular lo dispuesto en los arts. 2° y 7° de la Declaración Universal de Derechos Humanos, 1° y 24 de la Convención Americana sobre Derechos Humanos, 1° y 26 del Pacto Internacional de Derechos Civiles y Políticos, y 2.2 del Pacto Internacional de Derechos Económicos, Sociales y Culturales) alterando con ello la jerarquía normativa establecida en el art. 31 de la Ley Suprema. Se argumenta que la sentencia es nula por carecer de una adecuada fundamentación en derecho respecto a los hechos en examen, así como intentar sustentarse en afirmaciones dogmáticas, provenientes no sólo de la mera voluntad del Tribunal, sino de los prejuicios propios de los magistrados que lo integran, defectos que la descalifican como acto jurisdiccional. La autorización que se deniega, puntualiza, se relaciona con la identidad sexual de los asociados, por lo que los pretendidos fundamentos acerca del objeto son aparentes, significando una forma de discriminación basada en un concepto dogmático, rígido y prejuicioso de la realidad.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Admite la facultad de control del ente estatal pero después de reseñar sus objetivos sociales, concluye que el pronunciamiento de la alzada denota un alto contenido discriminatorio, ya que el fin de esa entidad no consiste en impulsar o promover estilos de vida o prácticas sexuales determinadas "a las que consideran propias de su derecho a la intimidad" sino que como surge con claridad del texto del estatuto tiende a que se reconozca que los travestis y los transexuales cuentan con una identidad propia, eliminándose prácticas marginatorias y estigmatizantes que vinculan al travestismo con la violencia y la prostitución como única alternativa de vida.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Destaca que el sentido del objeto de la asociación conlleva a fomentar prácticas ciudadanas más democráticas e inclusive que tiendan a la eliminación de la discriminación a la que son sometidos determinados grupos por su orientación sexual y apariencia física. Expresa que el tribunal a quo entiende que el problema de las personas travestis y transexuales es sólo de ellas, por lo que no tiene por qué interesar al resto del colectivo social y mucho menos al Estado. Mejorar sus condiciones de vida no haría — para los jueces de la causa—  al bien común de la sociedad, como tampoco a su propósito de integrarse socialmente. Desde una visión constitucional discrepa la recurrente con dicho concepto de bien común, ya que tales valores son propios de un estado de derecho, y se vinculan con el interés general de la sociedad.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 que sostener, como lo hace el tribunal a quo, que el goce de igualdad de oportunidades de un sector determinado no hace al bien común de toda la sociedad configura una negación de aquella prerrogativa y una verdadera discriminación, inadmisible en un tribunal de justicia, que contradice los fundamentos de normas federales, como la ley antidiscriminatoria 23.592, sin explicar el fundamento que habilitaría al Estado a conceder ciertos beneficios a unos y no a otros, ni dar un criterio objetivo o parámetros constitucionales que permitan conocer explícitamente las condiciones requeridas para ello. En cuanto a su posibilidad de organizarse </w:t>
      </w:r>
      <w:r>
        <w:rPr>
          <w:rFonts w:ascii="Times New Roman" w:hAnsi="Times New Roman"/>
          <w:sz w:val="20"/>
          <w:szCs w:val="20"/>
        </w:rPr>
        <w:lastRenderedPageBreak/>
        <w:t xml:space="preserve">bajo otras formas societarias, la alzada habría omitido tratar los agravios expuestos en el correspondiente memorial.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considera irrazonable el actuar del Estado en tanto reconoce personalidad a determinados grupos, con una identidad sexual definida "comunidad homosexual" pero se la deniega en idénticas condiciones a otro, como es el conformado por los travestis y transexuales.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los agravios de la apelante suscitan una cuestión federal apta para su examen en la instancia recursiva, toda vez que se plantea la validez de la interpretación que efectuó el tribunal a quo respecto a preceptos del Código Civil, objetándola como violatoria de garantías reconocidas por la Constitución Nacional y por tratados internacionales de igual jerarquía (art. 14, inc. 3°, ley 48).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presencia de una cuestión federal sustentada en la interpretación inconstitucional de normas no federales, ha sido destacada por el Tribunal en precedentes dictados aun con anterioridad al reconocimiento y admisibilidad de la doctrina de las sentencias arbitrarias (Fallos: 102:379; 123: 313; 124:395; 147:286), por manifiesta incompatibilidad de lo decidido con los principios y garantías constitucionales y las leyes que el art. 31 llama Ley Suprema de la Nación (Fallos: 176:339), lo que en cada caso corresponde decidir a esta Corte (Fallos: 229:599; 307:398).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en primer lugar se debe determinar si la decisión apelada restringe el derecho de asociación consagrado por el art. 14 de la Constitución Nacional y por tratados internacionales de igual jerarquía reconocidos por el art. 75, inc. 22, de la Ley Fundamental.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Esta cuestión debe ser respondida afirmativamente.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bien la negativa de autorización emanada de la I.G.J. no impide a la entidad peticionaria reunirse para la defensa y promoción de sus intereses y, eventualmente, ser considerada como una simple asociación civil, en alguna de las dos variantes previstas en el art. 46 del Código Civil, lo cierto es que no le permite disfrutar de todos los derechos que ejercen las asociaciones autorizadas. Tales, por ejemplo, la capacidad para adquirir bienes por herencia, legado o donación (arts. 1806, 3734 y 3735 del Código Civil); restricciones éstas que no son intrascendentes para una entidad de las características de la apelante. Además, en tanto que los integrantes de una persona jurídica no responden por las deudas de ésta, los miembros de una simple asociación sí lo hacen por dichas deudas de manera subsidiaria y accesoria (conf. arts. 46, in fine, y 1747 del código citado).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otra parte, en el caso específico de las asociaciones denominadas irregulares, es decir las que no cumplen con el requisito de forma prescripto por el citado art. 46 "constitución y designación de autoridades por escritura pública o instrumento privado de autenticidad certificados por escribano público", todos los miembros fundadores de la asociación y sus administradores asumen responsabilidad solidaria por los actos de ésta (art. cit).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suma, siempre que una entidad peticionaria llene el recaudo al cual la Ley Suprema condiciona el reconocimiento del derecho de asociarse, la denegación de personería jurídica causa un agravio en tanto le impide obtener el status más elevado contemplado por las normas reglamentarias del derecho de asociación.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Como señaló Bidart Campos: "Si no existiera diferencia alguna entre asociaciones que no tienen personalidad jurídica otorgada por el Estado, y asociaciones que la gozan) por qué y para qué tanto trámite, tanto reglamentarismo, tanto discurso sobre los objetivos societarios, el bien común, la moral pública, cada vez que hay que reconocer o desconocer a una asociación como persona jurídica?" (JA, 1992-I-917).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establecida tanto la presencia de caso federal como de agravio, corresponde analizar si el pronunciamiento judicial cuestionado es compatible con los principios, valores y derechos humanos que la Constitución Nacional enuncia y manda respetar, proteger y realizar a todas las instituciones estatales. Esta cuestión debe ser tratada con singular delicadeza desde que el derecho de asociarse con fines útiles que consagra nuestra Constitución desde 1853, ha sido fortalecido y profundizado por la protección reconocida a toda persona en diversos textos internacionales de los derechos humanos que, desde la reforma llevada a cabo en 1994, tienen jerarquía constitucional en los términos del art. 75, inc. 22 (Declaración Universal de Derechos Humanos, art. 20.1; Declaración Americana de los Derechos y Deberes del Hombre, art. XXII; Pacto Internacional de Derechos Civiles y Políticos, art. 22.1; Convención Americana de Derechos Humanos, art. 16.1). Por último, el art. 43 de la Constitución Nacional, reconoce legitimación procesal a las asociaciones que propendan a la protección de los derechos contra cualquier forma de discriminación.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el concepto de fines útiles que condicionan el derecho de asociarse sólo podrá ser definido ponderando el alcance de ese derecho en relación funcional con otras garantías esenciales del estado constitucional vigente en la República, como fue subrayado en las dos opiniones disidentes de la causa "Comunidad Homosexual Argentina" de Fallos: 314: 1531 (LA LEY, 1991-E, 679). En el voto disidente del juez Petracchi del precedente mencionado (considerandos 12 y 13) se recordó que en materia de libertad de asociación es patente la interactuación existente, al igual de lo que ocurre con el derecho de reunión, con la libertad de expresión o de prensa, ya que, tal como lo señaló esta Corte en "Arjones" (Fallos: 191:139), "...El derecho de reunión tiene su origen en la libertad individual, en la libertad de palabra, en la libertad de asociación. No se concibe cómo podrían ejercerse estos derechos, cómo podrán asegurarse los beneficios de la libertad 'para nosotros, para nuestra posteridad y para todos los hombres del mundo que quieran habitar el suelo </w:t>
      </w:r>
      <w:r>
        <w:rPr>
          <w:rFonts w:ascii="Times New Roman" w:hAnsi="Times New Roman"/>
          <w:sz w:val="20"/>
          <w:szCs w:val="20"/>
        </w:rPr>
        <w:lastRenderedPageBreak/>
        <w:t xml:space="preserve">argentino', según los términos consagratorios del Preámbulo, sin la libertad de reunirse o de asociarse, para enseñar o aprender, para propagar sus ideas, peticionar a las autoridades, orientar la opinión pública y tratar otros fines lícitos...".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en igual sentido el voto disidente del juez Fayt (Fallos: 314:1531) subrayó que frente a la existencia de un grupo de personas que desea organizarse a efectos de preservar su dignidad ante posibles afectaciones, la protección constitucional de ese derecho legitima la asociación perseguida. Con esa comprensión, se enfatizó que la protección de un valor rector como la dignidad humana implica que la ley reconozca, en tanto no ofenda el orden y la moral pública, ni perjudique a un tercero, un ámbito íntimo e infranqueable de libertad, de modo tal que pueda conducir a la realización personal, posibilidad que es requisito de una sociedad sana.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protección del ámbito de privacidad, se concluyó, resulta uno de los mayores valores del respeto a la dignidad del ser humano y un rasgo de esencial diferenciación entre el estado de derecho y las formas autoritarias de gobierno (considerandos 9° y 10).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el carácter instrumental del derecho de asociarse como medio esencialmente útil para asegurar y promover la libertad de expresión y la dignidad de la persona humana, se complementa con la necesaria apreciación que el Tribunal debe efectuar de las razones que justifican la asociación de las personas y que han llevado a su reconocimiento ulterior.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un lado, como lo expresó el voto del juez Petracchi en el precedente citado (considerando 17), aquéllas "...consiste en fomentar en los individuos la cooperación, el aunar criterios y esfuerzos en pos de metas comunes, a la par de incorporar en la esfera interna de los sujetos conciencia de solidaridad y fuerza colectiva...".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asociaciones cumplen una función pedagógica e integradora al establecer vías de apertura a la convivencia grupal, al intercambio de ideas, a la conjunción de esfuerzos; bases, por otra parte, del funcionamiento social civilizado, en el marco de los principios del estado de derecho. Como contrapartida, la comunidad toda y el poder público, aseguran, por la vía de dar forma jurídica a las asociaciones, la resolución de controversias dentro de las reglas que rigen la vida en sociedad, en la medida en que la integración de los individuos en asociaciones supone la aceptación de tales reglas de control, instalando los conflictos sociales en marcos racionales de análisis y solución". "En consecuencia, la limitación del ejercicio de tal derecho conlleva el riesgo de apartar a grupos sociales, especialmente a aquellos que manifiestan dificultades para su efectiva integración comunitaria...", de los mecanismos racionales de solución de conflictos que el Estado debe preservar y fomentar. Por ello, cabe afirmar que a una mayor cantidad de asociaciones corresponde un fortalecimiento de los lazos de integración entre las personas que, al tomar conciencia de que pertenecen a un grupo de referencia reconocido por la comunidad de la que forman parte, desalienta la búsqueda de soluciones irracionales de los conflictos.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a fin de definir cuál es el contorno mínimo de la utilidad constitucionalmente exigible para tutelar el derecho de asociarse no parece discutible, en un estado de derecho, la posibilidad que tienen los ciudadanos de fundar una persona jurídica con plena personería para actuar colectivamente en un ámbito de su interés. De ahí, pues, que el modo en que esta libertad de asociación es consagrada por la legislación nacional y, sobremanera, aplicada en la práctica por las autoridades, sea uno de los indicadores más seguros de la salud institucional de la democracia.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una consideración armónica e integradora de los desarrollos efectuados precedentemente con respecto a los valores e implicaciones personales, sociales e institucionales que pone en cuestión el derecho de asociarse, define con un riguroso alcance que no puede dar lugar a conclusiones divergentes el ámbito de protección que, en definitiva, cabe asignar a la cláusula constitucional que reconoce en esta República al derecho de que se trata.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la esencia misma de nuestra carta de derechos "que con la incorporación de los tratados internacionales en materia de derechos humanos ha sido fortalecida y profundizada" es el respeto de la dignidad y libertad humanas, y si la regla estructural de un estilo de vida democrático reside en la capacidad de una sociedad para resolver sus conflictos mediante el debate público de las ideas, el umbral de utilidad exigido por la Ley Suprema es indiscutiblemente satisfecho por toda agrupación voluntaria de personas que, por vías pacíficas y sin incitación a la violencia, convenga en la obtención de cualquiera de los múltiples objetos o pretensiones que, respetando los principios del sistema democrático, no ofendan al orden, la moral pública ni perjudiquen "de modo cierto y concreto" bienes o intereses de un tercero.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por ello, sólo la ilicitud de promover la asociación un objeto común que desconozca o violente las exigencias que para la protección a la dignidad de las personas establece el art. 19 de la Constitución Nacional o que, elíptica o derechamente, persiga la destrucción de las cláusulas inmutables del pacto fundacional de la República vigente desde 1853 (arts. 1 y 33 de la Ley Suprema), podría justificar una restricción al derecho de asociación.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trascendencia del pluralismo, la tolerancia y la comprensión llevan a concluir que todo derecho de asociarse es constitucionalmente útil, en la medida en que acrecienta el respeto por las ideas ajenas, aun aquellas con las que frontalmente se discrepa, y hasta se odia, favoreciendo la participación de los ciudadanos en el </w:t>
      </w:r>
      <w:r>
        <w:rPr>
          <w:rFonts w:ascii="Times New Roman" w:hAnsi="Times New Roman"/>
          <w:sz w:val="20"/>
          <w:szCs w:val="20"/>
        </w:rPr>
        <w:lastRenderedPageBreak/>
        <w:t xml:space="preserve">proceso democrático y logrando una mayor cohesión social que nace, precisamente, de compartir la noción fundacional del respeto a la diversidad y de la interacción de personas y grupos con variadas identidades, creencias y tradiciones, sean culturales, religiosas, artísticas, literarias, sociales, económicas, políticas, étnicas, religiosas, etc. (Tribunal Europeo de Derechos Humanos en "Gorzelik and others v Poland" — application n°44.158/98— , pronunciamiento del 17 de febrero de 2004, puntos 89 a 92). En síntesis, "cuando la Constitución alude a asociarse con fines útiles, esa utilidad significa que la finalidad social sea lícita, no perjudicial o dañina. Pero nada más" (G. Bidart Campos, op. cit., pág. 916).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a esta comprensión constitucional del derecho en juego en el sub lite debe adecuarse la interpretación de la norma aplicable del Código Civil (art. 33, segunda parte, ap. 1°), pues es un principio hermenéutico utilizado por este Tribunal desde sus primeros precedentes que de ese modo deben entenderse todos los preceptos del ordenamiento jurídico (Fallos: 255:192; 285:60; 299:93; 302:1600), desde el momento en que esa integración debe respetar los principios fundamentales del derecho en el grado y jerarquía en que éstos son valorados por el todo normativo (Fallos: 312:111; 314:1445).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prescindirse de esa regla cardinal se incurriría, como destacó el Tribunal en el precedente "Puloil S.A." de Fallos: 258:75, en una interpretación de las normas subordinadas que atentaría contra su validez constitucional en virtud de lo dispuesto en el art. 31 de la Constitución Nacional, dando lugar de este modo a una cuestión federal apta para su consideración por el Tribunal en la instancia del art. 14 de la ley 48, tal como se señala en el considerando 4°de este pronunciamiento.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el precepto mencionado exige que las asociaciones tengan por principal objeto el bien común, recaudo que proviene del texto original del código (Proyecto de Código Civil para la República Argentina, trabajado por encargo del Gobierno Nacional por el Doctor Don Dalmacio Vélez Sarsfield, libro primero, Buenos Aires, 1865, pág. 12), y aunque no fue objeto de comentario alguno por parte del codificador, no puede menos que pensarse que éste lo adoptó en el entendimiento de su compatibilidad con la Constitución Nacional. En efecto: si éste incluía en ese precepto a las sociedades anónimas, los bancos, etc., no podía excluir ninguna asociación por el mero hecho de que ésta fuese de utilidad particular para sus componentes o para quienes participan de sus ideas. Raras son las asociaciones en las que esto no sucede; tal vez, por ejemplo algunas filantrópicas. El resto, por regla general, procuran algún beneficio "no necesariamente patrimonial, claro está" para sus componentes o para las personas o grupos en que ellos se interesan, lo cual es natural y razonable.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el "bien común" no es una abstracción independiente de las personas o un espíritu colectivo diferente de éstas y menos aún lo que la mayoría considere "común" excluyendo a las minorías, sino que simple y sencillamente es el bien de todas las personas, las que suelen agruparse según intereses dispares, contando con que toda sociedad contemporánea es necesariamente plural, esto es, compuesta por personas con diferentes preferencias, visiones del mundo, intereses, proyectos, ideas, etc. Sea que se conciba a la sociedad como sistema o como equilibrio conflictivo, lo cierto es que en tanto las agrupaciones operen lícitamente facilitan la normalización de las demandas (desde perspectiva sistémica) o de reglas para zanjar los conflictos (desde visión conflictivista). Desde cualquiera de las interpretaciones "la normalización para unos o la estabilización para otros" produce un beneficio para la totalidad de las personas, o sea, para el "bien común".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como dijo la Corte en Fallos: 312:496, 512 "...es erróneo plantear el problema de la persona y el del bien común en términos de oposición, cuando en realidad se trata más bien de recíproca subordinación...". En análogo sentido la Corte Interamericana de Derechos Humanos se expresó en las opiniones consultivas 5/85 del 13 de noviembre de 1985, punto 66 y 6/86 del 9 de mayo de 1986.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no es posible ignorar los prejuicios existentes respecto de las minorías sexuales, que reconocen antecedentes históricos universales con terribles consecuencias genocidas, basadas en ideologías racistas y falsas afirmaciones a las que no fue ajeno nuestro país, como tampoco actuales persecuciones de similar carácter en buena parte del mundo, y que han dado lugar a un creciente movimiento mundial de reclamo de derechos que hacen a la dignidad de la persona y al respeto elemental a la autonomía de la conciencia.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17) Que tampoco debe ignorarse que personas pertenecientes a la minoría a que se refiere la asociación apelante no sólo sufren discriminación social sino que también han sido victimizadas de modo gravísimo, a través de malos tratos, apremios, violaciones y agresiones, e inclusive con homicidios. Como resultado de los prejuicios y la discriminación que les priva de fuentes de trabajo, tales personas se encuentran prácticamente condenadas a condiciones de marginación, que se agravan en los numerosos casos de pertenencia a los sectores más desfavorecidos de la población, con consecuencias nefastas para su calidad de vida y su salud, registrando altas tasas de mortalidad, todo lo cual se encuentra verificado en investigaciones de campo.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resulta prácticamente imposible negar propósitos de bien común a una asociación que procura rescatar de la marginalidad social a un grupo de personas y fomentar la elevación de su calidad de vida, de sus niveles de salud física y mental, evitar la difusión de dolencias infecciosas, prolongarles la vida, abrir proyectos para que la única opción de vida deje de hallarse en los bordes de la legalidad o en el campo de arbitrariedad controladora y, en definitiva, evitar muertes, violencia y enfermedad. Ello implicaría desconocer el principio con arreglo al cual el bien colectivo tiene una esencia pluralista, pues sostener que ideales como el acceso a la salud, educación, trabajo, vivienda y beneficios sociales de determinados grupos, así como propender a la no </w:t>
      </w:r>
      <w:r>
        <w:rPr>
          <w:rFonts w:ascii="Times New Roman" w:hAnsi="Times New Roman"/>
          <w:sz w:val="20"/>
          <w:szCs w:val="20"/>
        </w:rPr>
        <w:lastRenderedPageBreak/>
        <w:t xml:space="preserve">discriminación, es sólo un beneficio propio de los miembros de esa agrupación, importa olvidar que esas prerrogativas son propósitos que hacen al interés del conjunto social como objetivo esencial y razón de ser del Estado de cimentar una sociedad democrática, al amparo de los arts. 14 y 16 de la Constitución Nacional y de los tratados internacionales incorporados en su art. 75, inc. 22.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19) Que esta Corte ya ha subrayado el grave defecto de interpretación en que incurren los tribunales cuando en sus decisiones no otorgan trascendencia alguna a una condición de base para la sociedad democrática, cual es la coexistencia social pacífica. La preservación de ésta asegura el amparo de las valoraciones, creencias y estándares éticos compartidos por conjuntos de personas, aun minoritarios, cuya protección interesa a la comunidad para su convivencia armónica.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renuncia a dicha función por parte de los tribunales de justicia traería aparejado el gravísimo riesgo de que sólo aquellas valoraciones y creencias de las que participa la concepción media o la mayoría de la sociedad encontraría resguardo, y al mismo tiempo, determinaría el desconocimiento de otros no menos legítimos intereses sostenidos por los restantes miembros de la comunidad, circunstancia ésta que sin lugar a dudas constituiría una seria amenaza al sistema democrático que la Nación ha adoptado (arts. 1 y 33, Constitución Nacional). Por otra parte, la decisión apelada ha intentado reemplazar las opciones éticas personales cuya autonomía reconoce el art. 19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restauración definitiva del ideal democrático y republicano que plasmaron los constituyentes de 1853 y profundizaron los de 1994, convoca — como señaló el Tribunal en uno de los votos concurrentes de la causa "Portillo" de Fallos: 312:496—  a la unidad nacional, en libertad, pero no a la uniformidad u homogeneidad. El sentido de la igualdad democrática y liberal es el del "derecho a ser diferente", pero no puede confundirse nunca con la "igualación", que es un ideal totalitario y por ello es, precisamente, la negación más completa del anterior, pues carece de todo sentido hablar del derecho a un trato igualitario si previamente se nos forzó a todos a ser iguales. El art. 19 de la Constitución Nacional, en combinación con el resto de las garantías y los derechos reconocidos, no permite dudar del cuidado que los constituyentes pusieron en respetar la autonomía de la conciencia como esencia de la persona — y, por consiguiente, la diversidad de pensamientos y valores—  y no obligar a los ciudadanos a una uniformidad que no condice con la filosofía política liberal que orienta a nuestra Norma Fundamental. 20) Que, por lo demás, la pretensión de atribuir al Estado una omnipotencia valorativa en la consecución del bien común que, en rigor, sólo permitiría otorgar la autorización estatal a entidades con fines filantrópicos o científicos, a la par que haría retroceder a la situación imperante a principios del siglo veinte cuando el Poder Ejecutivo denegaba autorizaciones a asociaciones sindicales o mutualistas por tener en mira sólo el interés de sus integrantes (conf. decretos expte. -C.-342-1905, del 5 de abril de 1906 y 104.797 del 30 de abril de 1937; y conf. también Juan L. Paez, "El Derecho de las Asociaciones", Ed. Guillermo Kraft, Bs. As., pág. 515) ignoraría el mandato primero que los jueces argentinos reciben de la Constitución que juran cumplir, cual es el de asegurar el goce y pleno ejercicio de las garantías superiores para la efectiva vigencia del estado de derecho (caso "Siri" de Fallos: 239:459 — LA LEY, 89-531— ).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Jamás deberá olvidarse ni retacearse la cabal comprensión, esclarecida por Joaquín V. González más de un siglo atrás en su célebre "Manual de la Constitución Argentina", de que aquellas garantías integran el "patrimonio inalterable" que hace de cada hombre, ciudadano o no, un ser libre e independiente dentro de la Nación Argentina, formulación que esta Corte hizo propia en el caso "Outon" de Fallos: 267:215.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21) Que, pese a que se desprenden de las anteriores consideraciones, es menester la puntualización de algunas afirmaciones de la sentencia que no son constitucionalmente sostenibles, tal como "que el Estado Argentino no se encuentra compelido en virtud de ninguna norma internacional al reconocimiento de una asociación que no estime beneficiosa o útil para el desarrollo social de la comunidad". Además de que esta afirmación contradice la previsión del art. 75, inc. 22, de la Constitución Nacional, el Estado no puede negar arbitrariamente la personería jurídica a una asociación, sino sólo en base a pautas objetivas claras y acordes con la Ley Suprema, y es deber de todos los jueces competentes velar por su observancia. El arbitrio de la administración no implica arbitrariedad y, por ende, debe ser controlado judicialmente. "Actividad discrecional no es igual a facultad de decir que sí o que no, según le plazca a la administración, y mucho menos cuando se trata de conceder la personalidad jurídica, porque están comprometidos derechos de base constitucional" (Germán Bidart Campos, op. cit., pág. 915).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22) Que tampoco son constitucionalmente válidas las afirmaciones del a quo tales como que no es "...menester... hacer participar a este último [al Estado] de un emprendimiento que considera disvalioso para la totalidad de los convivientes (sic.) dentro de su ámbito de acción" (fs. 115 vta.) y que no está clausurado el recurso a formas de defensa contra la discriminación también marginal, que es una decisión "del grupo que se niega a reconocer la realidad que lo rodea" (fs. 116). Se interpreta con ello el "bien común" contenido en una norma de inferior jerarquía fuera del contexto de la Ley Suprema, para luego atribuirle al Estado un juicio de disvalor que pertenece sólo al ámbito de la particular y subjetiva opinión de los jueces sobre la conducta de un grupo de personas para desconocerle utilidad al accionar de una asociación. Por respetable que sea la opinión personal de los jueces, ésta no puede prevalecer sobre las normas constitucionales ni con ellas se puede nutrir la elaboración dogmática de un concepto a partir del Código Civil en forma contraria a la Constitución Nacional y </w:t>
      </w:r>
      <w:r>
        <w:rPr>
          <w:rFonts w:ascii="Times New Roman" w:hAnsi="Times New Roman"/>
          <w:sz w:val="20"/>
          <w:szCs w:val="20"/>
        </w:rPr>
        <w:lastRenderedPageBreak/>
        <w:t xml:space="preserve">a los tratados internacionales a ella incorporados. El juicio de disvalor, por otra parte, importa la afirmación de un daño que recaería sobre la llamada totalidad de los "convivientes", según la sentencia. Esto implica o que los peticionantes no son considerados "convivientes" "léase habitantes" o que su comportamiento es disvalioso también para ellos. La primera opción es inadmisible por discriminatoria (arts. 16 y 75, incs. 22 y 23 de la Constitución Nacional) y la segunda importa un juicio que irrumpe en el ámbito de reserva del art. 19 de aquélla. El reconocimiento de la discriminación del grupo parece acompañarse por la consideración de que ésta es atribuible al propio grupo, que "se niega a reconocer la realidad que lo rodea", o sea, que importaría un juicio de censura sobre su comportamiento e implícitamente una justificación de la actitud discriminatoria fundada en el anterior, con lo cual, en todo caso, se choca frontalmente contra las disposiciones constitucionales citadas.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23) Que en síntesis, la resolución del inspector general de justicia importó un incremento de las exigencias para obtener el reconocimiento estatal al requerir que los peticionantes demuestren la necesidad de la personería jurídica para el cumplimiento de sus fines, considerando insuficiente la mera utilidad o conveniencia. Por el otro lado, la Cámara de Apelaciones sostuvo que la defensa o auxilio de las personas discriminadas por ser travestis o transexuales no es otra cosa que un beneficio egoísta. Ambas decisiones, estrecharon el concepto de bien común en perjuicio de la asociación requirente y rechazaron su personería jurídica no por el hecho de que sus metas se dirigieran a mejorar la situación de un determinado grupo necesitado de auxilio (propósito que comparte con numerosas personas jurídicas), sino porque ese auxilio está dirigido al grupo travesti - transexual. Dicho de otro modo, la orientación sexual del grupo social al que pertenecen los integrantes de la asociación ha tenido un peso decisivo en el rechazo de la personería jurídica solicitada.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tema, y refiriéndose en general al principio de igualdad ante la ley (art. 24 de la Convención Americana sobre Derechos Humanos), la Corte Interamericana ha dicho: "55.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 (Corte Interamericana de Derechos Humanos, Opinión Consultiva OC-4/84 del 19 de enero de 1984).  24) Que debe destacarse que la presente decisión conlleva el abandono de la doctrina que sentó la mayoría en Fallos: 314:1531 citada por el tribunal a quo. La diferencia de trato hacia un determinado grupo (arts. 16 y 75, incs. 22 y 23 de la Constitución Nacional y 24 de la Convención Americana sobre Derechos Humanos) no puede justificarse solamente por deferencia hacia el juicio de conveniencia de los funcionarios administrativos, sino que ello exige al menos una conexión racional entre un fin estatal determinado y la medida de que se trate (art. 30 de la citada convención), requisito que, por todo lo expuesto precedentemente, no se verifica en el presente caso.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y de conformidad, en lo pertinente, con lo dictaminado por el señor Procurador General de la Nación, se hace lugar a la queja, se declara procedente el recurso extraordinario y se revoca la sentencia apelada. Costas por su orden por la naturaleza de la cuestión planteada (art. 68, segunda parte, del Código Procesal Civil y Comercial de la Nación). Vuelvan los autos al tribunal de origen a fin de que dicte un nuevo pronunciamiento con arreglo a lo aquí resuelto.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Reintégrese el depósito. Agréguese la queja al principal. Notifíquese y remítase. —  Enrique S. Petracchi. —  Elena I. Highton de Nolasco. —  Carlos S. Fayt (según su voto). —  Juan C. Maqueda. —  E. Raúl Zaffaroni. —  Ricardo L. Lorenzetti. —  Carmen M. Argibay.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Fayt: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Sala K de la Cámara Nacional de Apelaciones en lo Civil, al desestimar el recurso deducido por la peticionaria, confirmó la resolución de la Inspección General de Justicia 1142/03 que denegó a la Asociación Lucha por la Identidad Travesti-Transexual ("ALITT") la autorización para funcionar como persona jurídica, en el marco del art. 33, segunda parte, ap. 1°, del Código Civil.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para así decidir dicho tribunal afirmó, en lo sustancial, que si bien las personas jurídicas de existencia posible son el resultado puro y exclusivo de la voluntad o poder humano, el ordenamiento civil establece los principios fundamentales a que deben subordinarse, concernientes a su personalidad, derechos y responsabilidades. Agregó que las asociaciones, bajo cuya forma pretende actuar la actora, deben tener por principal objeto el bien común (art. 33, segunda parte, ap. 1°, del Código Civil); su acto constitutivo "indicó" es voluntario y lícito, pero la personalidad jurídica la adquieren por la intervención de la Inspección General de Justicia (en adelante, I.G.J.) "art. 45 del código citado", que en el marco de las funciones reguladas por la ley 22.315 debe emitir una decisión administrativa que permita a aquéllas funcionar regularmente.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caso, la decisión denegatoria del órgano estatal se sustentó en no considerar satisfecho el mencionado requisito legal, para lo cual "subrayó la cámara" el organismo de aplicación realizó un pormenorizado estudio de los propósitos enunciados en el art. 20 del estatuto de la entidad, que no puede ser calificado de ilegítimo o arbitrario.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Sostuvo la cámara interviniente, sobre la base de citas legales y jurisprudenciales, que los conceptos de bien común y legalidad no deben ser asimilados. En el caso, en el marco de la mencionada finalidad de bien común a </w:t>
      </w:r>
      <w:r>
        <w:rPr>
          <w:rFonts w:ascii="Times New Roman" w:hAnsi="Times New Roman"/>
          <w:sz w:val="20"/>
          <w:szCs w:val="20"/>
        </w:rPr>
        <w:lastRenderedPageBreak/>
        <w:t xml:space="preserve">que deben ajustarse por disposición legal las asociaciones "art. 33, segunda parte, ap. 1°, del Código Civil" interpretó que los objetivos expuestos por los recurrentes no se vinculan con ese propósito, sino que representan sólo una utilidad particular para los componentes de la asociación y "por extensión" para aquellos que participan de sus ideas. Para ello, el tribunal a quo sostuvo en diversos pasajes del pronunciamiento que el bien común se satisface cuando el objeto de la asociación es socialmente útil, entendiendo por tal expresión a un bien general público extendido a toda la sociedad, de manera que los objetivos se proyecten en beneficios positivos, de bienestar común, hacia la sociedad en general; en suma, se afirmó que el Estado argentino no puede ser compelido en virtud de ninguna norma internacional a reconocer una asociación que no estime útil para el desarrollo social de la comunidad. Concluyó que la misma no se proyecta en beneficio positivo alguno para la sociedad por lo que, en consecuencia, predicó que luchar para que el Estado y la sociedad no discriminen el travestismo como una identidad propia, asegurarle una mejor calidad de vida, implementar campañas exigiendo su derecho a la salud, educación, trabajo y vivienda y demás beneficios sociales, propiciar espacios de reflexión, campañas de divulgación y asesoramiento en materia de derechos sexuales y antidiscriminación, son objetivos que no tienden al bien común sino sólo persiguen beneficios personales para los integrantes del grupo conformado por personas que detentan esa condición (la itálica no corresponde a la sentencia de cámara).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miembros de dicho grupo "agregó la alzada" cuentan con derechos constitucionalmente reconocidos — como los demás ciudadanos—  para ocurrir ante organismos estatales o estrados judiciales. Es en ejercicio de dichas prerrogativas que formularon su petición, la que fue rechazada por la I.G.J., sin que se configurara trato discriminatorio alguno sino el ejercicio de facultades discrecionales que le competen como órgano de control, en las que no pueden inmiscuirse los jueces.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las personas, destacó el pronunciamiento, gozan de la prerrogativa de formar organizaciones, asociaciones o grupos no gubernamentales amparados por el art. 14 de la Constitución Nacional, sin que sea necesario reconocimiento estatal ni permiso alguno. A ello se refiere la mencionada garantía constitucional que consideran preservada en el caso, desde que los interesados podrían funcionar bajo otras formas legales existentes, como las simples asociaciones o asociaciones irregulares. Por otro lado, descartó también que se hubiera demostrado que la resolución administrativa que se cuestiona incurra en "calificaciones sospechosas" en los términos de los arts. 2.2 del Pacto Internacional de Derechos Económicos, Sociales y Culturales, y 2.1 del Pacto Internacional de Derechos Civiles y Políticos.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contra dicha decisión la asociación peticionaria interpuso recurso extraordinario a fs. 122/137, cuya desestimación a fs. 150/151 dio lugar a esta presentación directa. La recurrente se agravia de que la sentencia ratifique, en forma arbitraria, una interpretación inconstitucional del art. 33 del Código Civil por resultar contraria a la libertad de asociarse con fines útiles y a las garantías de igualdad ante la ley, de trato y de oportunidades consagradas por la Constitución Nacional y los Tratados Internacionales (arts. 14, 16 y 75, inc. 23; y en particular lo dispuesto en los arts. 2° y 7° de la Declaración Universal de Derechos Humanos, 1° y 24 de la Convención Americana sobre Derechos Humanos, 1° y 26 del Pacto Internacional de Derechos Civiles y Políticos, y 2.2 del Pacto Internacional de Derechos Económicos, Sociales y Culturales) alterando con ello la jerarquía normativa establecida en el art. 31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 argumenta que la sentencia es nula por carecer de una adecuada fundamentación en derecho respecto a los hechos en examen, así como intentar sustentarse en afirmaciones dogmáticas, provenientes no sólo de la mera voluntad del tribunal, sino de los prejuicios propios de los magistrados que lo integran, defectos que la descalifican como acto jurisdiccional. La autorización que se deniega, puntualiza, se relaciona con la identidad sexual de los asociados, por lo que los pretendidos fundamentos acerca del objeto son aparentes, significando una forma de discriminación basada en un concepto dogmático, rígido y prejuicioso de la realidad.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Admite la facultad de control del ente estatal pero después de reseñar sus objetivos sociales, concluye que el pronunciamiento de la alzada denota un alto contenido discriminatorio, ya que el fin de esa entidad no consiste en impulsar o promover estilos de vida o prácticas sexuales determinadas "a las que consideran propias de su derecho a la intimidad" sino que como surge con claridad del texto del estatuto tiende a que se reconozca que los travestis y los transexuales cuentan con una identidad propia, eliminándose prácticas marginatorias y estigmatizantes que vinculan al travestismo con la violencia y la prostitución como única alternativa de vida.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Destaca que el sentido del objeto de la asociación conlleva a fomentar prácticas ciudadanas más democráticas e inclusive que tiendan a la eliminación de la discriminación a la que son sometidos determinados grupos por su orientación sexual y apariencia física. Expresa que el tribunal a quo entiende que el problema de las personas travestis y transexuales es sólo de ellas, por lo que no tiene por qué interesar al resto del colectivo social y mucho menos al Estado. Mejorar sus condiciones de vida no haría "para los jueces de la causa" al bien común de la sociedad, como tampoco a su propósito de integrarse socialmente. Desde una visión constitucional discrepa la recurrente con dicho concepto de bien común, ya que tales valores son propios de un estado de derecho, y se vinculan con el interés general de la sociedad.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 que sostener, como lo hace el tribunal a quo, que el goce de igualdad de oportunidades de un sector determinado no hace al bien común de toda la sociedad configura una negación de aquella prerrogativa y una verdadera discriminación, inadmisible en un tribunal de justicia, que contradice los fundamentos de normas </w:t>
      </w:r>
      <w:r>
        <w:rPr>
          <w:rFonts w:ascii="Times New Roman" w:hAnsi="Times New Roman"/>
          <w:sz w:val="20"/>
          <w:szCs w:val="20"/>
        </w:rPr>
        <w:lastRenderedPageBreak/>
        <w:t xml:space="preserve">federales, como la ley antidiscriminatoria 23.592, sin explicar el fundamento que habilitaría al Estado a conceder ciertos beneficios a unos y no a otros, ni dar un criterio objetivo o parámetros constitucionales que permitan conocer explícitamente las condiciones requeridas para ello. En cuanto a su posibilidad de organizarse bajo otras formas societarias, la alzada habría omitido tratar los agravios expuestos en el correspondiente memorial.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considera irrazonable el actuar del Estado en tanto reconoce personalidad a determinados grupos, con una identidad sexual definida "comunidad homosexual" pero se la deniega en idénticas condiciones a otro, como es el conformado por los travestis y transexuales.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los agravios de la apelante suscitan una cuestión federal apta para su examen en la instancia recursiva introducida por la asociación peticionaria, toda vez que se encuentra planteada la validez de la interpretación asignada por el tribunal a quo a diversos preceptos del Código Civil bajo la pretensión de ser repugnantes a garantías reconocidas por la Constitución Nacional y por tratados internacionales incorporados a ésta, y ser la decisión adversa a los derechos fundados en esas cláusulas superiores (art. 14, inc. 3°, ley 48).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presencia de una cuestión federal sustentada en la interpretación inconstitucional de normas no federales, que ha sido destacada por el Tribunal en precedentes dictados aun con anterioridad al reconocimiento y admisibilidad en un asunto singular de la doctrina de las sentencias arbitrarias (Fallos: 102:379; 123:313; 124:395; 147:286), queda supeditada y sólo admite aplicación en el caso de mediar una manifiesta incompatibilidad de lo decidido con los principios y garantías constitucionales y las leyes que su art. 31 llama Ley Suprema de la Nación (Fallos: 176:339), examen que queda, desde luego, librado al criterio de esta Corte (Fallos: 229: 599; 307:398).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ello sentado, frente a las reiteradas afirmaciones efectuadas por la cámara de que la denegación de la personería jurídica no ocasionaba un agravio constitucional, con carácter previo cabe determinar si a raíz de la decisión tomada en la litis existe, o no, una restricción al derecho de asociación consagrado por el art. 14 de la Constitución Nacional y por Tratados Internacionales reconocidos por el art. 75, inc. 22, de la Ley Suprema; y, en caso afirmativo, si aquélla a la luz de una hermenéutica constitucional de los textos normativos en juego y de los objetivos realmente perseguidos por la recurrente, resulta "o no" legítima.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el primero de los interrogantes planteados en el considerando anterior debe ser respondido afirmativamente.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aun cuando la negativa de autorización emanada de la I.G.J. no impida a la entidad peticionaria reunirse para la defensa y promoción de sus intereses y, eventualmente, ser considerada como una simple asociación civil, en alguna de las dos variantes previstas en el art. 46 del Código Civil, parece evidente que la medida estatal impugnada le impide disfrutar de todos los derechos de que son titulares las restantes asociaciones que han recibido autorización para funcionar. Tales, por ejemplo, la capacidad para adquirir bienes por herencia, legado o donación (arts. 1806, 3734 y 3735 del Código Civil); restricciones éstas que no son intrascendentes para una entidad de las características de la apelante. Además, en tanto que los integrantes de una persona jurídica no responden por las deudas de ésta, los miembros de una simple asociación sí lo hacen por dichas deudas de manera subsidiaria y accesoria (conf. arts. 46, in fine, y 1747 del código citado).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otra parte, en el caso específico de las asociaciones denominadas irregulares, es decir las que no cumplen con el requisito de forma prescripto por el citado art. 46 "constitución y designación de autoridades por escritura pública o instrumento privado de autenticidad certificados por escribano público", todos los miembros fundadores de la asociación y sus administradores asumen responsabilidad solidaria por los actos de ésta (art. cit.).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suma, siempre que una entidad peticionaria llene el recaudo al cual la Ley Suprema condiciona el reconocimiento del derecho de asociarse, la denegación de personería jurídica causa un agravio, en tanto le impide obtener el status de rango más elevado contemplado por las normas reglamentarias del derecho de asociación.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establecida entonces la existencia en autos de una restricción al derecho constitucional de asociación dada la negativa a obtener el reconocimiento estatal en toda la extensión de aquél, es necesario determinar si el pronunciamiento judicial que confirma esa afectación es el resultado de una hermenéutica de los textos legales en juego llevada a cabo de modo compatible con los principios, valores y derechos humanos que la Constitución Nacional enuncia y manda respetar, proteger y realizar a todas las instituciones estatales.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cometido, cabe recordar que el derecho de asociarse con fines útiles que consagra nuestra Ley Suprema desde 1853, ha sido fortalecido y profundizado por la singular protección reconocida a toda persona en diversos textos internacionales de los derechos humanos que, desde la reforma llevada a cabo en 1994, tienen jerarquía constitucional en los términos del art. 75, inc. 22.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la Declaración Universal de Derechos Humanos, afirma en su art. 20.1 que "Toda persona tiene derecho a la libertad de reunión y de asociación pacíficas". De modo concorde, la Declaración Americana de los Derechos y Deberes del Hombre reconoce que "Toda persona tiene el derecho de asociarse con otras para promover, ejercer y proteger sus intereses legítimos de orden político, económico, religioso, social, cultural, profesional, sindical o de cualquier otro orden" (art. XXII).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Igual criterio es sostenido por el Pacto Internacional de Derechos Civiles y Políticos (PIDCYP), al prescribir que "Toda persona tiene derecho a asociarse libremente con otras, incluso el derecho de fundar sindicatos y afiliarse a ellos para la protección de sus intereses" (art. 22.1). Por su lado, la Convención Americana de Derechos Humanos (CADH) dispone que "Todas las personas tienen derecho a asociarse libremente con fines ideológicos, religiosos, políticos, económicos, laborales, sociales, culturales, deportivos o de cualquier otra índole" (art. 16.1). Es importante subrayar que ambos instrumentos prevén que el ejercicio de tal derecho sólo podrá estar sujeto a las restricciones previstas por la ley que sean necesarias en una sociedad democrática, en interés de la seguridad nacional, de la seguridad pública o del orden público, o para proteger la salud o moral públicas o los derechos y libertades de los demás (arts. 22.2 del PIDCYP y 16.2 de la CADH).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último, más allá de la previsión efectuada desde 1957 en el art. 14 bis de la Constitución Nacional con respecto a la "organización sindical libre y democrática, reconocida por la simple inscripción en un registro especial", a partir de 1994 se han incorporado a la Carta de Derechos diversas disposiciones concernientes a las asociaciones, pues el art. 38 califica a las agrupaciones políticas como instituciones fundamentales del sistema democrático; el art. 42 encomienda al Estado la protección de las asociaciones de usuarios y consumidores, a las que garantiza la participación en los organismos de control de los servicios públicos; y en el art. 43 se les reconoce legitimación procesal a las asociaciones que propendan a la protección de los derechos al ambiente, la competencia, al usurario y al consumidor, y contra cualquier forma de discriminación, así como a la tutela de los derechos de incidencia colectiva en general.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por tratarse de un asunto en el que el Tribunal debe definir el contenido de una de las libertades germinales consagradas por nuestra Ley Fundamental desde los albores de la República, las reglas señaladas se complementan e integran con el estándar interpretativo establecido por esta Corte en conocidos precedentes a partir de la refundación institucional de la Nación comenzada en diciembre de 1983 (casos "Ponzetti de Balbín" — Fallos: 306:1892— ; "Sejean" — Fallos: 308:2268—  entre muchos otros), con arreglo al cual el objetivo que debe orientar la hermenéutica constitucional en todos los campos es el de reconstruir el orden jurídico, sobre la base de establecer y afianzar para el futuro Cen su totalidadClas formas democráticas y republicanas de convivencia de los argentinos.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a fin de definir el alcance de los fines útiles que condicionan el derecho de asociarse, cabe destacar la vinculación funcional existente entre la libertad de asociación y otras garantías esenciales del estado de derecho, tal como fue subrayado en las dos opiniones disidentes de la causa "Comunidad Homosexual Argentina" de Fallos: 314:1531. A ese examen, debe sumarse una íntegra visión sobre los beneficios individuales y sociales que proporciona dicha libertad, para concluir subrayando su fiel significación en lo atinente a la calidad institucional del sistema democrático en el que está reconocida.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por un lado, resulta evidente la interacción en la que se encuentra la libertad de asociación — tanto como el derecho de reunión—  con la libertad de expresión o de prensa, tal como lo señaló esta Corte en "Arjones" (Fallos: 191:139) y fue recordado por el juez Petracchi en su voto disidente de Fallos: 314:1531 (considerandos 12 y 13). En efecto, "(e)l derecho de reunión tiene su origen en la libertad individual, en la libertad de palabra, en la libertad de asociación. No se concibe cómo podrían ejercerse estos derechos, cómo podrán asegurarse los beneficios de la libertad 'para nosotros, para nuestra posteridad y para todos los hombres del mundo que quieran habitar el suelo argentino', según los términos consagratorios del Preámbulo, sin la libertad de reunirse o de asociarse, para enseñar o aprender, para propagar sus ideas, peticionar a las autoridades, orientar la opinión pública y tratar otros fines lícitos...".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 otro, la estrecha vinculación que existe entre el derecho de asociarse y la dignidad humana, tal como fue subrayado por el juez Fayt, en disidencia, en la causa mencionada, en la que se destacó que frente a la existencia de un grupo de personas que desea organizarse a efectos de preservar su dignidad ante posibles afectaciones, la protección constitucional de ese derecho legitima la asociación perseguida. Con esa comprensión, se enfatizó que la protección de un valor rector como la dignidad humana implica que la ley reconozca, en tanto no ofenda el orden y la moral pública, ni perjudique a un tercero, un ámbito íntimo e infranqueable de libertad, de modo tal que pueda conducir a la realización personal, posibilidad que es requisito de una sociedad sana.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protección del ámbito de privacidad, se concluyó, resulta uno de los mayores valores del respeto a la dignidad del ser humano y un rasgo de esencial diferenciación entre el estado de derecho y las formas autoritarias de gobierno (considerandos 9° y 10).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el carácter instrumental del derecho de asociarse como medio esencialmente útil para asegurar y promover la libertad de expresión y la dignidad de la persona humana, se complementa con la necesaria apreciación que el Tribunal debe efectuar de las razones que justifican la asociación de las personas y que han llevado a su reconocimiento ulterior.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Así, como se expresó en la primera de las disidencias mencionadas en el precedente citado (considerando 17), "...aquéllas consisten en fomentar en los individuos la cooperación, el aunar criterios y esfuerzos en pos de metas comunes, a la par de incorporar en la esfera interna de los sujetos conciencia de solidaridad y fuerza colectiva...".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"Las asociaciones cumplen una función pedagógica e integradora al establecer vías de apertura a la convivencia grupal, al intercambio de ideas, a la conjunción de esfuerzos; bases, por otra parte, del funcionamiento social civilizado, en el marco de los principios del estado de derecho. Como contrapartida, la comunidad toda y el poder público, aseguran, por la vía de dar forma jurídica a las asociaciones, la resolución de controversias dentro de las reglas que rigen la vida en sociedad, en la medida en que la integración de los individuos en asociaciones supone la aceptación de tales reglas de control, instalando los conflictos sociales en marcos racionales de análisis y solución".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consecuencia, la limitación del ejercicio de tal derecho conlleva el riesgo de apartar a grupos sociales, especialmente a aquellos que manifiestan dificultades para su efectiva integración comunitaria". 12) Que, por último, cabe recordar — a fin de definir cuál es el contorno mínimo de la utilidad constitucionalmente exigible para tutelar el derecho de asociarse y desde una visión que pondere los beneficios del derecho de que se trata—  la íntima relación existente entre el derecho de asociarse y las condiciones más favorables para el desarrollo y profundización del estado democrático, enfáticamente puntualizada por De Tocqueville. En tal sentido, luego de recordar que "...en los pueblos democráticos...todos los ciudadanos son independientes y débiles; nada, casi, son por sí mismos, y ninguno de ellos puede obligar a sus semejantes a prestarle ayuda, de modo que caerían todos ellos en la impotencia si no aprendiesen a ayudarse libremente" y que "...un pueblo en que los particulares perdiesen el poder de hacer aisladamente grandes cosas, sin adquirir la facultad de producirlas en común, volvería pronto a la barbarie", sentencia que "(e)s, pues, indispensable que un gobierno no obre por sí solo. Las asociaciones son las que en los pueblos democráticos deben ocupar el lugar de los particulares poderosos que la igualdad de condiciones han hecho desaparecer". Concluye con precisa referencia a este asunto "(e)n los países democráticos la ciencia de las asociaciones es la ciencia madre, y el progreso de todas las demás depende de ésta. Entre las leyes que rigen las sociedades humanas, hay una que parece más precisa y más clara que todas las demás. Para que los hombres permanezcan civilizados o lleguen a serlo, es necesario que el arte de asociarse se desarrolle entre ellos, y se perfeccione a proporción que la igualdad de las condiciones se aumenta" (confr. "La Democracia en América" (segunda parte, traducida por Carlos Cerrillo Escobar, Daniel Jorro Editor, Madrid, 1911, págs 115 sgtes.).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con la comprensión indicada, no parece discutible que en una sociedad democrática fundada en un estado de derecho, la posibilidad que tienen los ciudadanos de fundar una persona jurídica, con plena personería jurídica, para actuar colectivamente en un ámbito de su interés constituya, en general, uno de los contenidos esenciales de su libertad y, con particular referencia al thema dedidendum, uno de los aspectos más importantes del derecho a la libertad de asociación, sin el cual este derecho quedaría completamente desprovisto de sentido. De ahí, pues, que la manera en que esta libertad es consagrada por la legislación nacional y, sobremanera, aplicada en la práctica por las autoridades es uno de los indicadores más seguros de la salud institucional de la democracia.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una consideración armónica e integradora de los desarrollos efectuados precedentemente con respecto a los valores e implicaciones personales, sociales e institucionales que pone en cuestión el derecho de asociarse, define con un riguroso alcance que no puede dar lugar a conclusiones divergentes el ámbito de protección que, en definitiva, cabe asignar a la cláusula constitucional que reconoce en esta República al derecho de que se trata.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utilidad que impone la Constitución Nacional no se confunde, ni se aproxima siquiera, con una concepción decimonónica del utilitarismo ni con los altos y declarados fines del Estado que forman parte de sus instrumentos fundacionales; tampoco lo hace con los propósitos — tradicionales o circunstanciales—  perseguidos por ninguna mayoría numérica de personas, ni aun en el por ciento más cercano al absoluto, sea que se trate de asociaciones, agrupaciones u opiniones ocasionales, y en cualquier materia que se involucre, como de naturaleza política, religiosa, moral, cultural, deportiva, sexual, etc. No es ese, pues, el contenido de la protección constitucional. Si la esencia misma de nuestra carta de derechos "que con la incorporación de los tratados internacionales en materia de derechos humanos ha sido fortalecida y profundizada" es el respeto de la dignidad y libertad humanas, y si la regla estructural de un estilo de vida democrático reside en la capacidad de una sociedad para resolver sus conflictos mediante el debate público de las ideas, el umbral de utilidad exigido por la Constitución Nacional es indiscutiblemente satisfecho por toda agrupación voluntaria de personas que, por vías pacíficas y sin incitación a la violencia, convenga en la obtención de cualquiera de los múltiples objetos o pretensiones que, respetando los principios inmutables del sistema democrático, no ofendan al orden, la moral pública ni perjudiquen — de modo cierto y concreto—  bienes o intereses de un tercero.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los recaudos enunciados conforman una regla que constituye la precisa y rigurosa frontera que, en un estado constitucional de derecho, debe superar el pluralismo de ideas y fines para merecer amparo constitucional cuando las personas que participan de un ideal compartido desean asociarse para perseguir colectivamente ese propósito.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debajo de aquélla sólo se encuentra la ilicitud proveniente de estar promoviendo la asociación un objeto común que desconoce o violenta las exigencias que para la protección a la dignidad de las personas establece el art. 19 de la Constitución Nacional o que, elíptica o derechamente, persigue la destrucción de las cláusulas </w:t>
      </w:r>
      <w:r>
        <w:rPr>
          <w:rFonts w:ascii="Times New Roman" w:hAnsi="Times New Roman"/>
          <w:sz w:val="20"/>
          <w:szCs w:val="20"/>
        </w:rPr>
        <w:lastRenderedPageBreak/>
        <w:t xml:space="preserve">inmutables del pacto fundacional de la República vigente desde 1853 (arts. 1 y 33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Como lo ha señalado el Tribunal Europeo de Derechos Humanos respecto de un texto similar al de la CADH, en el caso "Gorzelik and others v Poland" (application n°44.158/ 98, pronunciamiento del 17 de febrero de 2004, puntos 89 a 92), la trascendencia del pluralismo, la tolerancia y la comprensión llevan a concluir que todo derecho de asociarse es constitucionalmente útil, en la medida en que acrecienta el respeto por las ideas ajenas, aun aquellas con las que frontalmente se discrepa, y hasta se odia, favoreciendo la participación de los ciudadanos en el proceso democrático y logrando una mayor cohesión social que nace, precisamente, de compartir la noción fundacional del respeto a la diversidad y de la interacción de personas y grupos con variadas identidades, creencias y tradiciones, sean culturales, religiosas, artísticas, literarias, sociales, económicas, políticas, étnicas, religiosas, etc.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a esta comprensión constitucional del derecho en juego en el sub lite debe adecuarse la interpretación de la norma aplicable del Código Civil (art. 33, segunda parte, ap. 1°), pues es un principio hermenéutico utilizado por este Tribunal desde sus primeros precedentes que en el marco de aquella operación lógica y jurídica se deben computar la totalidad de los preceptos del ordenamiento jurídico y, sobremanera, la adecuación de la conclusión que se postule con los principios y garantías de la Constitución Nacional (Fallos: 255:192; 285:60; 299:93; 302:1600), desde el momento en que esa integración y sistematización debe respetar los principios fundamentales del derecho en el grado y jerarquía en que éstos son valorados por el todo normativo (Fallos: 312: 111; 314:1445). De prescindirse de esa regla cardinal se incurriría, como destacó el Tribunal en el precedente "Puloil S.A." de Fallos: 258:75, en una interpretación de las normas subordinadas que atentaría contra su validez constitucional en virtud de lo dispuesto en el art. 31 de la Ley Suprema, dando lugar de este modo a una cuestión federal apta para su consideración por el Tribunal en la instancia del art. 14 de la ley 48, tal como fue señalado en el considerando 4°de este pronunciamiento.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No fue sino este fecundo método de integración y sistematización constitucional de las normas inferiores el seguido por esta Corte en el precedente "Casal, Matías Eugenio y otro" — Fallos: 328:3399— , preservando de este modo la validez constitucional del art. 456 del Código Procesal Penal de la Nación frente a la rigurosa y restrictiva exégesis de la norma indicada que habían llevado a cabo los tribunales de la causa, que de ser mantenida hubiese dado lugar a la inconstitucionalidad del texto legal puesto en cuestión (causa "Casal" citada, considerando 34 del voto mayoritario; considerando 10 del voto concurrente de la jueza Highton de Nolasco; considerandos 9° y 12 del voto concurrente del juez Fayt; considerando 17 del voto concurrente de la jueza Argibay). 17) Que la mera confrontación entre la cerrada y literal exégesis llevada a cabo por la cámara, según las expresiones transcriptas con anterioridad (considerando 2° — tercer párrafo— ), con respecto al alcance del recaudo concerniente al bien común exigido por el Código Civil para que el Estado reconozca personería jurídica a una asociación, y el contenido atribuido en los considerandos 14 y 15 al derecho constitucional de asociarse con fines útiles, demuestra que la sentencia recurrida es insostenible por haber realizado una interpretación de los textos infraconstitucionales en juego que afecta en forma directa e inmediata las garantías superiores invocadas por la peticionaria y puestas en cuestión en esta causa (ley 48, art. 15).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en efecto, como dijo la Corte en "Portillo" (Fallos: 312:496, 512) "es erróneo plantear el problema de la persona y el del bien común en términos de oposición [tal como lo hace el a quo respecto del sub lite], cuando en realidad se trata más bien de recíproca subordinación...". En análogo sentido la Corte Interamericana de Derechos Humanos se expresó en las opiniones consultivas 5/85 del 13 de noviembre de 1985, punto 66 y 6/86 del 9 de mayo de 1986.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19) Que en las condiciones expresadas el reproche que la cámara formula a la peticionaria de que la asociación sólo tiene por propósito tutelar los intereses de sus integrantes mas no el del resto de la comunidad, es fruto de una interpretación constitucionalmente inválida de la exigencia del bien común prevista en la norma reglamentaria.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claro en ese contexto, que cuando los jueces del tribunal apelado sostienen que los objetivos de la demandante resultan totalmente ajenos a ese requisito legal realizan, por un lado, una interpretación parcial e irrazonable de los objetivos estatutarios agregados a fs. 1 y 22, ya que de ellos surgen propósitos relacionados con derechos básicos de la persona humana reconocidos en nuestra Constitución Nacional y en Tratados Internacionales, de claros fines no lucrativos, útiles y aun desinteresados. De igual modo, se desconoce el principio cardinal con arreglo al cual el bien colectivo tiene una esencia pluralista, pues al sostener la sentencia que ideales como el acceso a la salud, educación, trabajo, vivienda y beneficios sociales de determinados grupos, así como propender a la no discriminación, es sólo un beneficio propio de los miembros de esa agrupación, la alzada olvida que en realidad esas prerrogativas son propósitos que hacen al interés del conjunto social como objetivo esencial y razón de ser del Estado de cimentar una sociedad democrática, al amparo de los arts. 14 y 16 de la Constitución Nacional y de los Tratados Internacionales incorporados en su art. 75, inc. 22.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20) Que esta Corte ya ha subrayado el grave defecto de interpretación en que incurren los jueces cuando en sus decisiones no otorgan trascendencia alguna a una condición de base para una sociedad democrática como es la coexistencia social pacífica, cuya preservación asegura el amparo de las valoraciones, creencias y estándares éticos compartidos por conjuntos de personas, aun minoritarios, cuya protección interesa a la comunidad para su </w:t>
      </w:r>
      <w:r>
        <w:rPr>
          <w:rFonts w:ascii="Times New Roman" w:hAnsi="Times New Roman"/>
          <w:sz w:val="20"/>
          <w:szCs w:val="20"/>
        </w:rPr>
        <w:lastRenderedPageBreak/>
        <w:t xml:space="preserve">convivencia armónica.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renuncia a dicha función por parte de los tribunales de justicia traería aparejado el gravísimo riesgo de que sólo aquellas valoraciones y creencias de las que participa la concepción media o la mayoría de la sociedad encontraría resguardo, y al mismo tiempo, determinaría el desconocimiento de otros no menos legítimos intereses sostenidos por los restantes miembros de la comunidad, circunstancia ésta que sin lugar a dudas constituiría una seria amenaza al sistema democrático que la Nación ha adoptado (arts. 1 y 33, Constitución Nacional). Por otra parte la decisión apelada ha intentado reemplazar las opciones éticas personales cuya autonomía reconoce el art. 19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restauración definitiva del ideal democrático y republicano que plasmaron los constituyentes de 1853 y profundizaron los de 1994, convoca — como señaló el Tribunal en uno de los votos concurrentes de la causa "Portillo" de Fallos: 312:496—  a la unidad nacional, en libertad, pero no a la uniformidad; unidad en la diversidad, en la tolerancia, en el mutuo respeto de credos y conciencias, acordes o no con los criterios predominantes. El art. 19 de la Constitución Nacional en combinación con el catálogo de garantías y derechos reconocidos no permite dudar del cuidado que los constituyentes pusieron en respetar la diversidad de pensamientos y no obligar a los ciudadanos a una uniformidad que no condice con la filosofía liberal que orienta a nuestra Ley Fundamental.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21) Que, por lo demás, aquel juicio de valor de naturaleza perfeccionista y autoritario efectuado por la cámara con respecto a los propósitos estatutarios, al atribuir al Estado una suerte de omnipotencia y hegemonía en la consecución del bien común que, en rigor, sólo permitiría otorgar la autorización estatal a entidades con fines filantrópicos o científicos, a la par que haría retroceder al estado imperante a principios del siglo veinte cuando el Poder Ejecutivo denegaba autorizaciones a asociaciones sindicales o mutualistas por tener en mira sólo el interés de sus integrantes (conf. decretos expte. C.-342-1905, del 5 de abril de 1906 y 104.797 del 30 de abril de 1937; y conf. también Juan L. Páez, "El Derecho de las Asociaciones", Ed. Guillermo Kraft, Bs. As., pág. 515), ha ignorado el mandato primero que los jueces argentinos reciben de la Constitución que juran cumplir, de asegurar el goce y pleno ejercicio de las garantías superiores para la efectiva vigencia del estado de derecho (caso "Siri" de Fallos: 239:459).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Jamás deberá olvidarse ni retacearse la cabal comprensión, esclarecida por Joaquín V. González más de un siglo atrás en su célebre "Manual de la Constitución Argentina", de que aquellas garantías integran el "patrimonio inalterable" que hace de cada hombre, ciudadano o no, un ser libre e independiente dentro de la Nación Argentina, formulación que esta Corte hizo propia en el caso "Outon" de Fallos: 267:215.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22) Que, de otro lado, la cámara no ha advertido la inconsecuencia a la cual conduce irremisiblemente su errónea concepción del bien común, pues no intenta conciliar la rigurosa comprensión asignada al texto infraconstitucional en juego con los derechos reconocidos desde 1994 en la Ley Suprema a las asociaciones que, como la actora, tienen por objeto evitar cualquier forma de discriminación, al atribuírseles capacidad procesal para pretender ante el Poder Judicial la tutela del derecho señalado.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23) Que tampoco son constitucionalmente sostenibles afirmaciones del pronunciamiento tales como que no es "...menester... hacer participar a este último [al Estado] de un emprendimiento que considera disvalioso para la totalidad de los convivientes (sic) dentro de su ámbito de acción" (fs. 115 vta.) y que no está clausurado el recurso a formas de defensa contra la discriminación también marginal, que es una decisión "del grupo que se niega a reconocer la realidad que los rodea" (fs. 116).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mencionados conceptos importan, en primer lugar, expresar una particular y subjetiva opinión de los jueces sobre la utilidad del accionar de una asociación, que carece de fundamentación objetiva. En segundo lugar, al agregar sin más que el Estado no está obligado a tal reconocimiento por norma internacional alguna, contradice la previsión del art. 75, inc. 22, de la Constitución Nacional, que al otorgar a los pactos internacionales que reseña orden jerárquico normativo superior a las leyes, remite a la supremacía claramente enunciada por el art. 31 de la Constitución de los instrumentos que constituyen la Ley Suprema de la Nación. Esos acuerdos reconocen al individuo — entre otros—  el derecho a la igualdad y de asociarse pacíficamente que, en el caso, la cámara ha restringido sin fundamentos razonables que lo justifiquen, sobre la base de una interpretación inconstitucional de un requisito de inferior jerarquía.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y de conformidad, en lo pertinente, con lo dictaminado por el señor Procurador General de la Nación, se hace lugar a la queja, se declara procedente el recurso extraordinario y se revoca la sentencia apelada con el alcance indicado. Costas por su orden por la naturaleza de la cuestión planteada (art. 68, segunda parte, del Código Procesal Civil y Comercial de la Nación). Vuelvan los autos al tribunal de origen a fin de que dicte un nuevo pronunciamiento con arreglo a lo aquí resuelto. Reintégrese el depósito. Agréguese la queja al principal. Notifíquese y remítase. —  Carlos S. Fayt. </w:t>
      </w:r>
    </w:p>
    <w:p w:rsidR="00C30FD8" w:rsidRDefault="00C30FD8" w:rsidP="00C30FD8">
      <w:pPr>
        <w:widowControl w:val="0"/>
        <w:autoSpaceDE w:val="0"/>
        <w:autoSpaceDN w:val="0"/>
        <w:adjustRightInd w:val="0"/>
        <w:spacing w:after="0" w:line="240" w:lineRule="auto"/>
        <w:ind w:firstLine="300"/>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firstLine="300"/>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firstLine="300"/>
        <w:rPr>
          <w:rFonts w:ascii="Times New Roman" w:hAnsi="Times New Roman"/>
          <w:sz w:val="20"/>
          <w:szCs w:val="20"/>
        </w:rPr>
      </w:pP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b/>
          <w:bCs/>
          <w:sz w:val="20"/>
          <w:szCs w:val="20"/>
        </w:rPr>
        <w:t>FALLOS</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LA</w:t>
      </w:r>
      <w:r>
        <w:rPr>
          <w:rFonts w:ascii="Times New Roman" w:hAnsi="Times New Roman"/>
          <w:sz w:val="20"/>
          <w:szCs w:val="20"/>
        </w:rPr>
        <w:t xml:space="preserve"> </w:t>
      </w: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PREMIUM:</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lastRenderedPageBreak/>
        <w:t>Historia</w:t>
      </w:r>
      <w:r>
        <w:rPr>
          <w:rFonts w:ascii="Times New Roman" w:hAnsi="Times New Roman"/>
          <w:sz w:val="20"/>
          <w:szCs w:val="20"/>
        </w:rPr>
        <w:t xml:space="preserve"> </w:t>
      </w:r>
      <w:r>
        <w:rPr>
          <w:rFonts w:ascii="Times New Roman" w:hAnsi="Times New Roman"/>
          <w:b/>
          <w:bCs/>
          <w:sz w:val="20"/>
          <w:szCs w:val="20"/>
        </w:rPr>
        <w:t>Directa</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Instancia previa: </w:t>
      </w:r>
      <w:hyperlink r:id="rId22" w:history="1">
        <w:r>
          <w:rPr>
            <w:rFonts w:ascii="Times New Roman" w:hAnsi="Times New Roman"/>
            <w:color w:val="393884"/>
            <w:sz w:val="16"/>
            <w:szCs w:val="16"/>
            <w:u w:val="single"/>
          </w:rPr>
          <w:t xml:space="preserve">ALITT Asociación Lucha por la Identidad Travesti-Transexual c. Inspección General de Justicia - Cámara Nacional de </w:t>
        </w:r>
      </w:hyperlink>
      <w:hyperlink r:id="rId23" w:history="1">
        <w:r>
          <w:rPr>
            <w:rFonts w:ascii="Times New Roman" w:hAnsi="Times New Roman"/>
            <w:color w:val="393884"/>
            <w:sz w:val="16"/>
            <w:szCs w:val="16"/>
            <w:u w:val="single"/>
          </w:rPr>
          <w:t>Apelaciones en lo Civil, sala K(CNCiv)(SalaK)Nacional</w:t>
        </w:r>
      </w:hyperlink>
      <w:r>
        <w:rPr>
          <w:rFonts w:ascii="Times New Roman" w:hAnsi="Times New Roman"/>
          <w:sz w:val="20"/>
          <w:szCs w:val="20"/>
        </w:rPr>
        <w:t xml:space="preserve">Sentido del pronunciamiento: Revoca la sentencia de la instancia previa </w:t>
      </w: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Otros pronunciamientos recaídos en la misma causa:  </w:t>
      </w: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hyperlink r:id="rId24" w:history="1">
        <w:r>
          <w:rPr>
            <w:rFonts w:ascii="Times New Roman" w:hAnsi="Times New Roman"/>
            <w:color w:val="393884"/>
            <w:sz w:val="16"/>
            <w:szCs w:val="16"/>
            <w:u w:val="single"/>
          </w:rPr>
          <w:t xml:space="preserve">Corte Suprema de Justicia de la Nación - Resolución 1142/2003 Inspección General de Justicia - Asociación de Lucha por la Identidad </w:t>
        </w:r>
      </w:hyperlink>
      <w:hyperlink r:id="rId25" w:history="1">
        <w:r>
          <w:rPr>
            <w:rFonts w:ascii="Times New Roman" w:hAnsi="Times New Roman"/>
            <w:color w:val="393884"/>
            <w:sz w:val="16"/>
            <w:szCs w:val="16"/>
            <w:u w:val="single"/>
          </w:rPr>
          <w:t xml:space="preserve">Travesti - Transexual Asociación Civil - 2003-09-16 </w:t>
        </w:r>
      </w:hyperlink>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ViaProcesal</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Jurisdicción y competencia: Por apelación extraordinaria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Tipo de recurso: Queja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Control</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Constitucionalidad</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sz w:val="20"/>
          <w:szCs w:val="20"/>
        </w:rPr>
        <w:t xml:space="preserve">Art. 14, ley 48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Información</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MODIFICA LA JURISPRUDENCIA DE: </w:t>
      </w:r>
      <w:hyperlink r:id="rId26" w:history="1">
        <w:r>
          <w:rPr>
            <w:rFonts w:ascii="Times New Roman" w:hAnsi="Times New Roman"/>
            <w:color w:val="393884"/>
            <w:sz w:val="16"/>
            <w:szCs w:val="16"/>
            <w:u w:val="single"/>
          </w:rPr>
          <w:t xml:space="preserve">Corte Suprema de Justicia de la Nación - Comunidad Homosexual Argentina c. </w:t>
        </w:r>
      </w:hyperlink>
      <w:hyperlink r:id="rId27" w:history="1">
        <w:r>
          <w:rPr>
            <w:rFonts w:ascii="Times New Roman" w:hAnsi="Times New Roman"/>
            <w:color w:val="393884"/>
            <w:sz w:val="16"/>
            <w:szCs w:val="16"/>
            <w:u w:val="single"/>
          </w:rPr>
          <w:t xml:space="preserve">Resolución Inspección General de Justicia - 1991-11-22 </w:t>
        </w:r>
      </w:hyperlink>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PERSONERÍA JURÍDICA - Derecho de asociación - Interpretación del art. 33 del Cód. Civil.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EL VOTO CONCURRENTE CITA A: </w:t>
      </w:r>
      <w:hyperlink r:id="rId28" w:history="1">
        <w:r>
          <w:rPr>
            <w:rFonts w:ascii="Times New Roman" w:hAnsi="Times New Roman"/>
            <w:color w:val="393884"/>
            <w:sz w:val="16"/>
            <w:szCs w:val="16"/>
            <w:u w:val="single"/>
          </w:rPr>
          <w:t xml:space="preserve">Corte Suprema de Justicia de la Nación - Sejean, J. B. c. Zaks de Sejean, A. M. - </w:t>
        </w:r>
      </w:hyperlink>
      <w:hyperlink r:id="rId29" w:history="1">
        <w:r>
          <w:rPr>
            <w:rFonts w:ascii="Times New Roman" w:hAnsi="Times New Roman"/>
            <w:color w:val="393884"/>
            <w:sz w:val="16"/>
            <w:szCs w:val="16"/>
            <w:u w:val="single"/>
          </w:rPr>
          <w:t xml:space="preserve">1986-11-27 </w:t>
        </w:r>
      </w:hyperlink>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CONSTITUCIÓN NACIONAL - Hermenéutica constitucional - Pautas elaboradas por la Corte Suprema de Justicia de la Nación - Derechos Fundamentales </w:t>
      </w: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Fallos</w:t>
      </w:r>
      <w:r>
        <w:rPr>
          <w:rFonts w:ascii="Times New Roman" w:hAnsi="Times New Roman"/>
          <w:sz w:val="20"/>
          <w:szCs w:val="20"/>
        </w:rPr>
        <w:t xml:space="preserve"> </w:t>
      </w:r>
      <w:r>
        <w:rPr>
          <w:rFonts w:ascii="Times New Roman" w:hAnsi="Times New Roman"/>
          <w:b/>
          <w:bCs/>
          <w:sz w:val="20"/>
          <w:szCs w:val="20"/>
        </w:rPr>
        <w:t>Extranjeros</w:t>
      </w:r>
      <w:r>
        <w:rPr>
          <w:rFonts w:ascii="Times New Roman" w:hAnsi="Times New Roman"/>
          <w:sz w:val="20"/>
          <w:szCs w:val="20"/>
        </w:rPr>
        <w:t xml:space="preserve"> </w:t>
      </w:r>
      <w:r>
        <w:rPr>
          <w:rFonts w:ascii="Times New Roman" w:hAnsi="Times New Roman"/>
          <w:b/>
          <w:bCs/>
          <w:sz w:val="20"/>
          <w:szCs w:val="20"/>
        </w:rPr>
        <w:t>y</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organismos</w:t>
      </w:r>
      <w:r>
        <w:rPr>
          <w:rFonts w:ascii="Times New Roman" w:hAnsi="Times New Roman"/>
          <w:sz w:val="20"/>
          <w:szCs w:val="20"/>
        </w:rPr>
        <w:t xml:space="preserve"> </w:t>
      </w:r>
      <w:r>
        <w:rPr>
          <w:rFonts w:ascii="Times New Roman" w:hAnsi="Times New Roman"/>
          <w:b/>
          <w:bCs/>
          <w:sz w:val="20"/>
          <w:szCs w:val="20"/>
        </w:rPr>
        <w:t>internacionales</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TRATA SIMILAR TEMA QUE </w:t>
      </w:r>
      <w:hyperlink r:id="rId30" w:history="1">
        <w:r>
          <w:rPr>
            <w:rFonts w:ascii="Times New Roman" w:hAnsi="Times New Roman"/>
            <w:color w:val="393884"/>
            <w:sz w:val="16"/>
            <w:szCs w:val="16"/>
            <w:u w:val="single"/>
          </w:rPr>
          <w:t xml:space="preserve">Suprema Corte de Estados Unidos - Romer c. Evans - 1996-05-20 </w:t>
        </w:r>
      </w:hyperlink>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IDENTIDAD SEXUAL - Derecho a la no discriminación.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TRATA SIMILAR TEMA QUE </w:t>
      </w:r>
      <w:hyperlink r:id="rId31" w:history="1">
        <w:r>
          <w:rPr>
            <w:rFonts w:ascii="Times New Roman" w:hAnsi="Times New Roman"/>
            <w:color w:val="393884"/>
            <w:sz w:val="16"/>
            <w:szCs w:val="16"/>
            <w:u w:val="single"/>
          </w:rPr>
          <w:t xml:space="preserve">Corte Interamericana de Derechos Humanos - Opinión consultiva OC-4/84 - 1984-01-19 </w:t>
        </w:r>
      </w:hyperlink>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IGUALDAD ANTE LA LEY - Discriminación.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TRATA SIMILAR TEMA QUE </w:t>
      </w:r>
      <w:hyperlink r:id="rId32" w:history="1">
        <w:r>
          <w:rPr>
            <w:rFonts w:ascii="Times New Roman" w:hAnsi="Times New Roman"/>
            <w:color w:val="393884"/>
            <w:sz w:val="16"/>
            <w:szCs w:val="16"/>
            <w:u w:val="single"/>
          </w:rPr>
          <w:t xml:space="preserve">Suprema Corte de Estados Unidos - Geddes Lawrence, John y otro c. Texas - 2003-06-26 </w:t>
        </w:r>
      </w:hyperlink>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IDENTIDAD SEXUAL - Derecho a la no discriminación.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Tener</w:t>
      </w:r>
      <w:r>
        <w:rPr>
          <w:rFonts w:ascii="Times New Roman" w:hAnsi="Times New Roman"/>
          <w:sz w:val="20"/>
          <w:szCs w:val="20"/>
        </w:rPr>
        <w:t xml:space="preserve"> </w:t>
      </w:r>
      <w:r>
        <w:rPr>
          <w:rFonts w:ascii="Times New Roman" w:hAnsi="Times New Roman"/>
          <w:b/>
          <w:bCs/>
          <w:sz w:val="20"/>
          <w:szCs w:val="20"/>
        </w:rPr>
        <w:t>en</w:t>
      </w:r>
      <w:r>
        <w:rPr>
          <w:rFonts w:ascii="Times New Roman" w:hAnsi="Times New Roman"/>
          <w:sz w:val="20"/>
          <w:szCs w:val="20"/>
        </w:rPr>
        <w:t xml:space="preserve"> </w:t>
      </w:r>
      <w:r>
        <w:rPr>
          <w:rFonts w:ascii="Times New Roman" w:hAnsi="Times New Roman"/>
          <w:b/>
          <w:bCs/>
          <w:sz w:val="20"/>
          <w:szCs w:val="20"/>
        </w:rPr>
        <w:t>cuenta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4"/>
          <w:szCs w:val="24"/>
        </w:rPr>
      </w:pPr>
    </w:p>
    <w:p w:rsidR="0035448B" w:rsidRDefault="0035448B"/>
    <w:sectPr w:rsidR="0035448B">
      <w:headerReference w:type="default" r:id="rId33"/>
      <w:footerReference w:type="default" r:id="rId34"/>
      <w:pgSz w:w="11894" w:h="16833"/>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040" w:rsidRDefault="00BE6040">
      <w:pPr>
        <w:spacing w:after="0" w:line="240" w:lineRule="auto"/>
      </w:pPr>
      <w:r>
        <w:separator/>
      </w:r>
    </w:p>
  </w:endnote>
  <w:endnote w:type="continuationSeparator" w:id="1">
    <w:p w:rsidR="00BE6040" w:rsidRDefault="00BE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458"/>
      <w:gridCol w:w="4097"/>
      <w:gridCol w:w="2459"/>
    </w:tblGrid>
    <w:tr w:rsidR="00C30FD8" w:rsidRPr="00C30FD8">
      <w:tblPrEx>
        <w:tblCellMar>
          <w:top w:w="0" w:type="dxa"/>
          <w:left w:w="0" w:type="dxa"/>
          <w:bottom w:w="0" w:type="dxa"/>
          <w:right w:w="0" w:type="dxa"/>
        </w:tblCellMar>
      </w:tblPrEx>
      <w:tc>
        <w:tcPr>
          <w:tcW w:w="9014" w:type="dxa"/>
          <w:gridSpan w:val="3"/>
          <w:tcBorders>
            <w:top w:val="nil"/>
            <w:left w:val="nil"/>
            <w:bottom w:val="nil"/>
            <w:right w:val="nil"/>
          </w:tcBorders>
          <w:tcMar>
            <w:top w:w="100" w:type="dxa"/>
            <w:right w:w="100" w:type="dxa"/>
          </w:tcMar>
        </w:tcPr>
        <w:p w:rsidR="00C30FD8" w:rsidRPr="00C30FD8" w:rsidRDefault="00C30FD8">
          <w:pPr>
            <w:widowControl w:val="0"/>
            <w:autoSpaceDE w:val="0"/>
            <w:autoSpaceDN w:val="0"/>
            <w:adjustRightInd w:val="0"/>
            <w:spacing w:after="0" w:line="240" w:lineRule="auto"/>
            <w:rPr>
              <w:rFonts w:ascii="Times New Roman" w:hAnsi="Times New Roman"/>
              <w:sz w:val="24"/>
              <w:szCs w:val="24"/>
            </w:rPr>
          </w:pPr>
          <w:r w:rsidRPr="00C30FD8">
            <w:rPr>
              <w:rFonts w:ascii="Times New Roman" w:hAnsi="Times New Roman"/>
              <w:sz w:val="24"/>
              <w:szCs w:val="24"/>
            </w:rPr>
            <w:pict>
              <v:rect id="_x0000_i1025" style="width:0;height:1.5pt" o:hralign="center" o:hrstd="t" o:hr="t" fillcolor="gray" stroked="f" strokecolor="#090000"/>
            </w:pict>
          </w:r>
        </w:p>
      </w:tc>
    </w:tr>
    <w:tr w:rsidR="00C30FD8" w:rsidRPr="00C30FD8">
      <w:tblPrEx>
        <w:tblCellMar>
          <w:top w:w="0" w:type="dxa"/>
          <w:left w:w="0" w:type="dxa"/>
          <w:bottom w:w="0" w:type="dxa"/>
          <w:right w:w="0" w:type="dxa"/>
        </w:tblCellMar>
      </w:tblPrEx>
      <w:tc>
        <w:tcPr>
          <w:tcW w:w="2458" w:type="dxa"/>
          <w:tcBorders>
            <w:top w:val="nil"/>
            <w:left w:val="nil"/>
            <w:bottom w:val="nil"/>
            <w:right w:val="nil"/>
          </w:tcBorders>
          <w:tcMar>
            <w:top w:w="100" w:type="dxa"/>
            <w:right w:w="100" w:type="dxa"/>
          </w:tcMar>
        </w:tcPr>
        <w:p w:rsidR="00C30FD8" w:rsidRPr="00C30FD8" w:rsidRDefault="00C30FD8">
          <w:pPr>
            <w:widowControl w:val="0"/>
            <w:autoSpaceDE w:val="0"/>
            <w:autoSpaceDN w:val="0"/>
            <w:adjustRightInd w:val="0"/>
            <w:spacing w:after="0" w:line="240" w:lineRule="auto"/>
            <w:rPr>
              <w:rFonts w:ascii="Verdana" w:hAnsi="Verdana" w:cs="Verdana"/>
              <w:sz w:val="16"/>
              <w:szCs w:val="16"/>
            </w:rPr>
          </w:pPr>
          <w:r w:rsidRPr="00C30FD8">
            <w:rPr>
              <w:rFonts w:ascii="Verdana" w:hAnsi="Verdana" w:cs="Verdana"/>
              <w:color w:val="C0C0C0"/>
              <w:sz w:val="16"/>
              <w:szCs w:val="16"/>
            </w:rPr>
            <w:t>©</w:t>
          </w:r>
          <w:r w:rsidRPr="00C30FD8">
            <w:rPr>
              <w:rFonts w:ascii="Verdana" w:hAnsi="Verdana" w:cs="Verdana"/>
              <w:sz w:val="16"/>
              <w:szCs w:val="16"/>
            </w:rPr>
            <w:t xml:space="preserve"> </w:t>
          </w:r>
          <w:r w:rsidRPr="00C30FD8">
            <w:rPr>
              <w:rFonts w:ascii="Verdana" w:hAnsi="Verdana" w:cs="Verdana"/>
              <w:color w:val="C0C0C0"/>
              <w:sz w:val="16"/>
              <w:szCs w:val="16"/>
            </w:rPr>
            <w:t>Thomson</w:t>
          </w:r>
          <w:r w:rsidRPr="00C30FD8">
            <w:rPr>
              <w:rFonts w:ascii="Verdana" w:hAnsi="Verdana" w:cs="Verdana"/>
              <w:sz w:val="16"/>
              <w:szCs w:val="16"/>
            </w:rPr>
            <w:t xml:space="preserve"> </w:t>
          </w:r>
          <w:r w:rsidRPr="00C30FD8">
            <w:rPr>
              <w:rFonts w:ascii="Verdana" w:hAnsi="Verdana" w:cs="Verdana"/>
              <w:color w:val="C0C0C0"/>
              <w:sz w:val="16"/>
              <w:szCs w:val="16"/>
            </w:rPr>
            <w:t>La</w:t>
          </w:r>
          <w:r w:rsidRPr="00C30FD8">
            <w:rPr>
              <w:rFonts w:ascii="Verdana" w:hAnsi="Verdana" w:cs="Verdana"/>
              <w:sz w:val="16"/>
              <w:szCs w:val="16"/>
            </w:rPr>
            <w:t xml:space="preserve"> </w:t>
          </w:r>
          <w:r w:rsidRPr="00C30FD8">
            <w:rPr>
              <w:rFonts w:ascii="Verdana" w:hAnsi="Verdana" w:cs="Verdana"/>
              <w:color w:val="C0C0C0"/>
              <w:sz w:val="16"/>
              <w:szCs w:val="16"/>
            </w:rPr>
            <w:t>Ley</w:t>
          </w:r>
          <w:r w:rsidRPr="00C30FD8">
            <w:rPr>
              <w:rFonts w:ascii="Verdana" w:hAnsi="Verdana" w:cs="Verdana"/>
              <w:sz w:val="16"/>
              <w:szCs w:val="16"/>
            </w:rPr>
            <w:t xml:space="preserve"> </w:t>
          </w:r>
        </w:p>
      </w:tc>
      <w:tc>
        <w:tcPr>
          <w:tcW w:w="4097" w:type="dxa"/>
          <w:tcBorders>
            <w:top w:val="nil"/>
            <w:left w:val="nil"/>
            <w:bottom w:val="nil"/>
            <w:right w:val="nil"/>
          </w:tcBorders>
          <w:tcMar>
            <w:top w:w="100" w:type="dxa"/>
            <w:right w:w="100" w:type="dxa"/>
          </w:tcMar>
        </w:tcPr>
        <w:p w:rsidR="00C30FD8" w:rsidRPr="00C30FD8" w:rsidRDefault="00C30FD8">
          <w:pPr>
            <w:widowControl w:val="0"/>
            <w:autoSpaceDE w:val="0"/>
            <w:autoSpaceDN w:val="0"/>
            <w:adjustRightInd w:val="0"/>
            <w:spacing w:after="0" w:line="240" w:lineRule="auto"/>
            <w:rPr>
              <w:rFonts w:ascii="Verdana" w:hAnsi="Verdana" w:cs="Verdana"/>
              <w:sz w:val="16"/>
              <w:szCs w:val="16"/>
            </w:rPr>
          </w:pPr>
        </w:p>
      </w:tc>
      <w:tc>
        <w:tcPr>
          <w:tcW w:w="2459" w:type="dxa"/>
          <w:tcBorders>
            <w:top w:val="nil"/>
            <w:left w:val="nil"/>
            <w:bottom w:val="nil"/>
            <w:right w:val="nil"/>
          </w:tcBorders>
          <w:tcMar>
            <w:top w:w="100" w:type="dxa"/>
            <w:right w:w="100" w:type="dxa"/>
          </w:tcMar>
        </w:tcPr>
        <w:p w:rsidR="00C30FD8" w:rsidRPr="00C30FD8" w:rsidRDefault="00C30FD8">
          <w:pPr>
            <w:widowControl w:val="0"/>
            <w:autoSpaceDE w:val="0"/>
            <w:autoSpaceDN w:val="0"/>
            <w:adjustRightInd w:val="0"/>
            <w:spacing w:after="0" w:line="240" w:lineRule="auto"/>
            <w:jc w:val="right"/>
            <w:rPr>
              <w:rFonts w:ascii="Verdana" w:hAnsi="Verdana" w:cs="Verdana"/>
              <w:sz w:val="16"/>
              <w:szCs w:val="16"/>
            </w:rPr>
          </w:pPr>
          <w:r w:rsidRPr="00C30FD8">
            <w:rPr>
              <w:rFonts w:ascii="Verdana" w:hAnsi="Verdana" w:cs="Verdana"/>
              <w:b/>
              <w:bCs/>
              <w:sz w:val="16"/>
              <w:szCs w:val="16"/>
            </w:rPr>
            <w:pgNum/>
          </w:r>
          <w:r w:rsidRPr="00C30FD8">
            <w:rPr>
              <w:rFonts w:ascii="Verdana" w:hAnsi="Verdana" w:cs="Verdana"/>
              <w:sz w:val="16"/>
              <w:szCs w:val="16"/>
            </w:rPr>
            <w:t xml:space="preserve"> </w:t>
          </w:r>
        </w:p>
      </w:tc>
    </w:tr>
  </w:tbl>
  <w:p w:rsidR="00C30FD8" w:rsidRDefault="00C30FD8">
    <w:pPr>
      <w:widowControl w:val="0"/>
      <w:autoSpaceDE w:val="0"/>
      <w:autoSpaceDN w:val="0"/>
      <w:adjustRightInd w:val="0"/>
      <w:spacing w:after="0" w:line="240" w:lineRule="auto"/>
      <w:rPr>
        <w:rFonts w:ascii="Verdana" w:hAnsi="Verdana" w:cs="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040" w:rsidRDefault="00BE6040">
      <w:pPr>
        <w:spacing w:after="0" w:line="240" w:lineRule="auto"/>
      </w:pPr>
      <w:r>
        <w:separator/>
      </w:r>
    </w:p>
  </w:footnote>
  <w:footnote w:type="continuationSeparator" w:id="1">
    <w:p w:rsidR="00BE6040" w:rsidRDefault="00BE6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D8" w:rsidRDefault="00C30FD8">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FD8"/>
    <w:rsid w:val="0035448B"/>
    <w:rsid w:val="00B07559"/>
    <w:rsid w:val="00BE6040"/>
    <w:rsid w:val="00C30F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D8"/>
    <w:pPr>
      <w:spacing w:after="200" w:line="276" w:lineRule="auto"/>
    </w:pPr>
    <w:rPr>
      <w:rFonts w:eastAsia="Times New Roman"/>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leyonline.com.ar/app/document?src=externalLink&amp;crumb-action=append&amp;context=20&amp;docguid=iD66474EC905911D686070050DABAA208" TargetMode="External"/><Relationship Id="rId13" Type="http://schemas.openxmlformats.org/officeDocument/2006/relationships/hyperlink" Target="http://www.laleyonline.com.ar/app/document?src=externalLink&amp;crumb-action=append&amp;context=20&amp;docguid=iD66474EC905911D686070050DABAA208" TargetMode="External"/><Relationship Id="rId18" Type="http://schemas.openxmlformats.org/officeDocument/2006/relationships/hyperlink" Target="http://www.laleyonline.com.ar/app/document?src=externalLink&amp;crumb-action=append&amp;context=20&amp;docguid=iD66474EC905911D686070050DABAA208" TargetMode="External"/><Relationship Id="rId26" Type="http://schemas.openxmlformats.org/officeDocument/2006/relationships/hyperlink" Target="http://www.laleyonline.com.ar/app/document?src=externalLink&amp;crumb-action=append&amp;context=20&amp;docguid=iD66474EC905911D686070050DABAA208" TargetMode="External"/><Relationship Id="rId3" Type="http://schemas.openxmlformats.org/officeDocument/2006/relationships/webSettings" Target="webSettings.xml"/><Relationship Id="rId21" Type="http://schemas.openxmlformats.org/officeDocument/2006/relationships/hyperlink" Target="http://www.laleyonline.com.ar/app/document?src=externalLink&amp;crumb-action=append&amp;context=20&amp;docguid=iD66474EC905911D686070050DABAA208" TargetMode="External"/><Relationship Id="rId34" Type="http://schemas.openxmlformats.org/officeDocument/2006/relationships/footer" Target="footer1.xml"/><Relationship Id="rId7" Type="http://schemas.openxmlformats.org/officeDocument/2006/relationships/hyperlink" Target="http://www.laleyonline.com.ar/app/document?src=externalLink&amp;crumb-action=append&amp;context=20&amp;docguid=iD66474EC905911D686070050DABAA208" TargetMode="External"/><Relationship Id="rId12" Type="http://schemas.openxmlformats.org/officeDocument/2006/relationships/hyperlink" Target="http://www.laleyonline.com.ar/app/document?src=externalLink&amp;crumb-action=append&amp;context=20&amp;docguid=iD66474EC905911D686070050DABAA208" TargetMode="External"/><Relationship Id="rId17" Type="http://schemas.openxmlformats.org/officeDocument/2006/relationships/hyperlink" Target="http://www.laleyonline.com.ar/app/document?src=externalLink&amp;crumb-action=append&amp;context=20&amp;docguid=iD66474EC905911D686070050DABAA208" TargetMode="External"/><Relationship Id="rId25" Type="http://schemas.openxmlformats.org/officeDocument/2006/relationships/hyperlink" Target="http://www.laleyonline.com.ar/app/document?src=externalLink&amp;crumb-action=append&amp;context=20&amp;docguid=i69C0A1A1638D11D8ABF30001027AD7FD"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aleyonline.com.ar/app/document?src=externalLink&amp;crumb-action=append&amp;context=20&amp;docguid=iD66474EC905911D686070050DABAA208" TargetMode="External"/><Relationship Id="rId20" Type="http://schemas.openxmlformats.org/officeDocument/2006/relationships/hyperlink" Target="http://www.laleyonline.com.ar/app/document?src=externalLink&amp;crumb-action=append&amp;context=20&amp;docguid=iD66474EC905911D686070050DABAA208" TargetMode="External"/><Relationship Id="rId29" Type="http://schemas.openxmlformats.org/officeDocument/2006/relationships/hyperlink" Target="http://www.laleyonline.com.ar/app/document?src=externalLink&amp;crumb-action=append&amp;context=20&amp;docguid=i6550ED89927411D686070050DABAA208" TargetMode="External"/><Relationship Id="rId1" Type="http://schemas.openxmlformats.org/officeDocument/2006/relationships/styles" Target="styles.xml"/><Relationship Id="rId6" Type="http://schemas.openxmlformats.org/officeDocument/2006/relationships/hyperlink" Target="http://www.laleyonline.com.ar/app/document?src=externalLink&amp;crumb-action=append&amp;context=20&amp;docguid=iD66474EC905911D686070050DABAA208" TargetMode="External"/><Relationship Id="rId11" Type="http://schemas.openxmlformats.org/officeDocument/2006/relationships/hyperlink" Target="http://www.laleyonline.com.ar/app/document?src=externalLink&amp;crumb-action=append&amp;context=20&amp;docguid=iD66474EC905911D686070050DABAA208" TargetMode="External"/><Relationship Id="rId24" Type="http://schemas.openxmlformats.org/officeDocument/2006/relationships/hyperlink" Target="http://www.laleyonline.com.ar/app/document?src=externalLink&amp;crumb-action=append&amp;context=20&amp;docguid=i69C0A1A1638D11D8ABF30001027AD7FD" TargetMode="External"/><Relationship Id="rId32" Type="http://schemas.openxmlformats.org/officeDocument/2006/relationships/hyperlink" Target="http://www.laleyonline.com.ar/app/document?src=externalLink&amp;crumb-action=append&amp;context=20&amp;docguid=iFF4B29FCEA9D11D7896E0001027AD7FD" TargetMode="External"/><Relationship Id="rId5" Type="http://schemas.openxmlformats.org/officeDocument/2006/relationships/endnotes" Target="endnotes.xml"/><Relationship Id="rId15" Type="http://schemas.openxmlformats.org/officeDocument/2006/relationships/hyperlink" Target="http://www.laleyonline.com.ar/app/document?src=externalLink&amp;crumb-action=append&amp;context=20&amp;docguid=iD66474EC905911D686070050DABAA208" TargetMode="External"/><Relationship Id="rId23" Type="http://schemas.openxmlformats.org/officeDocument/2006/relationships/hyperlink" Target="http://www.laleyonline.com.ar/app/document?src=externalLink&amp;crumb-action=append&amp;context=20&amp;docguid=i696E3618953711D8ABF30001027AD7FD" TargetMode="External"/><Relationship Id="rId28" Type="http://schemas.openxmlformats.org/officeDocument/2006/relationships/hyperlink" Target="http://www.laleyonline.com.ar/app/document?src=externalLink&amp;crumb-action=append&amp;context=20&amp;docguid=i6550ED89927411D686070050DABAA208" TargetMode="External"/><Relationship Id="rId36" Type="http://schemas.openxmlformats.org/officeDocument/2006/relationships/theme" Target="theme/theme1.xml"/><Relationship Id="rId10" Type="http://schemas.openxmlformats.org/officeDocument/2006/relationships/hyperlink" Target="http://www.laleyonline.com.ar/app/document?src=externalLink&amp;crumb-action=append&amp;context=20&amp;docguid=iD66474EC905911D686070050DABAA208" TargetMode="External"/><Relationship Id="rId19" Type="http://schemas.openxmlformats.org/officeDocument/2006/relationships/hyperlink" Target="http://www.laleyonline.com.ar/app/document?src=externalLink&amp;crumb-action=append&amp;context=20&amp;docguid=iD66474EC905911D686070050DABAA208" TargetMode="External"/><Relationship Id="rId31" Type="http://schemas.openxmlformats.org/officeDocument/2006/relationships/hyperlink" Target="http://www.laleyonline.com.ar/app/document?src=externalLink&amp;crumb-action=append&amp;context=20&amp;docguid=iC6A466636E6744ABB4F5F0E1DAB2DDBB" TargetMode="External"/><Relationship Id="rId4" Type="http://schemas.openxmlformats.org/officeDocument/2006/relationships/footnotes" Target="footnotes.xml"/><Relationship Id="rId9" Type="http://schemas.openxmlformats.org/officeDocument/2006/relationships/hyperlink" Target="http://www.laleyonline.com.ar/app/document?src=externalLink&amp;crumb-action=append&amp;context=20&amp;docguid=iD66474EC905911D686070050DABAA208" TargetMode="External"/><Relationship Id="rId14" Type="http://schemas.openxmlformats.org/officeDocument/2006/relationships/hyperlink" Target="http://www.laleyonline.com.ar/app/document?src=externalLink&amp;crumb-action=append&amp;context=20&amp;docguid=iD66474EC905911D686070050DABAA208" TargetMode="External"/><Relationship Id="rId22" Type="http://schemas.openxmlformats.org/officeDocument/2006/relationships/hyperlink" Target="http://www.laleyonline.com.ar/app/document?src=externalLink&amp;crumb-action=append&amp;context=20&amp;docguid=i696E3618953711D8ABF30001027AD7FD" TargetMode="External"/><Relationship Id="rId27" Type="http://schemas.openxmlformats.org/officeDocument/2006/relationships/hyperlink" Target="http://www.laleyonline.com.ar/app/document?src=externalLink&amp;crumb-action=append&amp;context=20&amp;docguid=iD66474EC905911D686070050DABAA208" TargetMode="External"/><Relationship Id="rId30" Type="http://schemas.openxmlformats.org/officeDocument/2006/relationships/hyperlink" Target="http://www.laleyonline.com.ar/app/document?src=externalLink&amp;crumb-action=append&amp;context=20&amp;docguid=i504670B135482C71CA4A715E945C2E1B"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19441</Words>
  <Characters>106930</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126119</CharactersWithSpaces>
  <SharedDoc>false</SharedDoc>
  <HLinks>
    <vt:vector size="258" baseType="variant">
      <vt:variant>
        <vt:i4>786510</vt:i4>
      </vt:variant>
      <vt:variant>
        <vt:i4>126</vt:i4>
      </vt:variant>
      <vt:variant>
        <vt:i4>0</vt:i4>
      </vt:variant>
      <vt:variant>
        <vt:i4>5</vt:i4>
      </vt:variant>
      <vt:variant>
        <vt:lpwstr>http://www.laleyonline.com.ar/app/document?src=externalLink&amp;crumb-action=append&amp;context=20&amp;docguid=iFF4B29FCEA9D11D7896E0001027AD7FD</vt:lpwstr>
      </vt:variant>
      <vt:variant>
        <vt:lpwstr/>
      </vt:variant>
      <vt:variant>
        <vt:i4>5898266</vt:i4>
      </vt:variant>
      <vt:variant>
        <vt:i4>123</vt:i4>
      </vt:variant>
      <vt:variant>
        <vt:i4>0</vt:i4>
      </vt:variant>
      <vt:variant>
        <vt:i4>5</vt:i4>
      </vt:variant>
      <vt:variant>
        <vt:lpwstr>http://www.laleyonline.com.ar/app/document?src=externalLink&amp;crumb-action=append&amp;context=20&amp;docguid=iC6A466636E6744ABB4F5F0E1DAB2DDBB</vt:lpwstr>
      </vt:variant>
      <vt:variant>
        <vt:lpwstr/>
      </vt:variant>
      <vt:variant>
        <vt:i4>5242950</vt:i4>
      </vt:variant>
      <vt:variant>
        <vt:i4>120</vt:i4>
      </vt:variant>
      <vt:variant>
        <vt:i4>0</vt:i4>
      </vt:variant>
      <vt:variant>
        <vt:i4>5</vt:i4>
      </vt:variant>
      <vt:variant>
        <vt:lpwstr>http://www.laleyonline.com.ar/app/document?src=externalLink&amp;crumb-action=append&amp;context=20&amp;docguid=i504670B135482C71CA4A715E945C2E1B</vt:lpwstr>
      </vt:variant>
      <vt:variant>
        <vt:lpwstr/>
      </vt:variant>
      <vt:variant>
        <vt:i4>6160405</vt:i4>
      </vt:variant>
      <vt:variant>
        <vt:i4>117</vt:i4>
      </vt:variant>
      <vt:variant>
        <vt:i4>0</vt:i4>
      </vt:variant>
      <vt:variant>
        <vt:i4>5</vt:i4>
      </vt:variant>
      <vt:variant>
        <vt:lpwstr>http://www.laleyonline.com.ar/app/document?src=externalLink&amp;crumb-action=append&amp;context=20&amp;docguid=i6550ED89927411D686070050DABAA208</vt:lpwstr>
      </vt:variant>
      <vt:variant>
        <vt:lpwstr/>
      </vt:variant>
      <vt:variant>
        <vt:i4>6160405</vt:i4>
      </vt:variant>
      <vt:variant>
        <vt:i4>114</vt:i4>
      </vt:variant>
      <vt:variant>
        <vt:i4>0</vt:i4>
      </vt:variant>
      <vt:variant>
        <vt:i4>5</vt:i4>
      </vt:variant>
      <vt:variant>
        <vt:lpwstr>http://www.laleyonline.com.ar/app/document?src=externalLink&amp;crumb-action=append&amp;context=20&amp;docguid=i6550ED89927411D686070050DABAA208</vt:lpwstr>
      </vt:variant>
      <vt:variant>
        <vt:lpwstr/>
      </vt:variant>
      <vt:variant>
        <vt:i4>6029385</vt:i4>
      </vt:variant>
      <vt:variant>
        <vt:i4>111</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108</vt:i4>
      </vt:variant>
      <vt:variant>
        <vt:i4>0</vt:i4>
      </vt:variant>
      <vt:variant>
        <vt:i4>5</vt:i4>
      </vt:variant>
      <vt:variant>
        <vt:lpwstr>http://www.laleyonline.com.ar/app/document?src=externalLink&amp;crumb-action=append&amp;context=20&amp;docguid=iD66474EC905911D686070050DABAA208</vt:lpwstr>
      </vt:variant>
      <vt:variant>
        <vt:lpwstr/>
      </vt:variant>
      <vt:variant>
        <vt:i4>720966</vt:i4>
      </vt:variant>
      <vt:variant>
        <vt:i4>105</vt:i4>
      </vt:variant>
      <vt:variant>
        <vt:i4>0</vt:i4>
      </vt:variant>
      <vt:variant>
        <vt:i4>5</vt:i4>
      </vt:variant>
      <vt:variant>
        <vt:lpwstr>http://www.laleyonline.com.ar/app/document?src=externalLink&amp;crumb-action=append&amp;context=20&amp;docguid=i69C0A1A1638D11D8ABF30001027AD7FD</vt:lpwstr>
      </vt:variant>
      <vt:variant>
        <vt:lpwstr/>
      </vt:variant>
      <vt:variant>
        <vt:i4>720966</vt:i4>
      </vt:variant>
      <vt:variant>
        <vt:i4>102</vt:i4>
      </vt:variant>
      <vt:variant>
        <vt:i4>0</vt:i4>
      </vt:variant>
      <vt:variant>
        <vt:i4>5</vt:i4>
      </vt:variant>
      <vt:variant>
        <vt:lpwstr>http://www.laleyonline.com.ar/app/document?src=externalLink&amp;crumb-action=append&amp;context=20&amp;docguid=i69C0A1A1638D11D8ABF30001027AD7FD</vt:lpwstr>
      </vt:variant>
      <vt:variant>
        <vt:lpwstr/>
      </vt:variant>
      <vt:variant>
        <vt:i4>327701</vt:i4>
      </vt:variant>
      <vt:variant>
        <vt:i4>99</vt:i4>
      </vt:variant>
      <vt:variant>
        <vt:i4>0</vt:i4>
      </vt:variant>
      <vt:variant>
        <vt:i4>5</vt:i4>
      </vt:variant>
      <vt:variant>
        <vt:lpwstr>http://www.laleyonline.com.ar/app/document?src=externalLink&amp;crumb-action=append&amp;context=20&amp;docguid=i696E3618953711D8ABF30001027AD7FD</vt:lpwstr>
      </vt:variant>
      <vt:variant>
        <vt:lpwstr/>
      </vt:variant>
      <vt:variant>
        <vt:i4>327701</vt:i4>
      </vt:variant>
      <vt:variant>
        <vt:i4>96</vt:i4>
      </vt:variant>
      <vt:variant>
        <vt:i4>0</vt:i4>
      </vt:variant>
      <vt:variant>
        <vt:i4>5</vt:i4>
      </vt:variant>
      <vt:variant>
        <vt:lpwstr>http://www.laleyonline.com.ar/app/document?src=externalLink&amp;crumb-action=append&amp;context=20&amp;docguid=i696E3618953711D8ABF30001027AD7FD</vt:lpwstr>
      </vt:variant>
      <vt:variant>
        <vt:lpwstr/>
      </vt:variant>
      <vt:variant>
        <vt:i4>6029385</vt:i4>
      </vt:variant>
      <vt:variant>
        <vt:i4>93</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90</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87</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84</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81</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78</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75</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72</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69</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66</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63</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60</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57</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54</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51</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48</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45</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42</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39</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36</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33</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30</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27</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24</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21</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18</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15</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12</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9</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0</vt:i4>
      </vt:variant>
      <vt:variant>
        <vt:i4>0</vt:i4>
      </vt:variant>
      <vt:variant>
        <vt:i4>5</vt:i4>
      </vt:variant>
      <vt:variant>
        <vt:lpwstr>http://www.laleyonline.com.ar/app/document?src=externalLink&amp;crumb-action=append&amp;context=20&amp;docguid=iD66474EC905911D686070050DABAA208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Equipo</cp:lastModifiedBy>
  <cp:revision>2</cp:revision>
  <dcterms:created xsi:type="dcterms:W3CDTF">2002-01-01T12:52:00Z</dcterms:created>
  <dcterms:modified xsi:type="dcterms:W3CDTF">2002-01-01T12:52:00Z</dcterms:modified>
</cp:coreProperties>
</file>